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ED" w:rsidRPr="00D342DA" w:rsidRDefault="007571ED" w:rsidP="001765F6">
      <w:pPr>
        <w:snapToGrid w:val="0"/>
        <w:spacing w:before="304" w:line="600" w:lineRule="exact"/>
        <w:ind w:firstLine="763"/>
        <w:jc w:val="center"/>
        <w:rPr>
          <w:rFonts w:ascii="方正小标宋_GBK" w:eastAsia="方正小标宋_GBK" w:hAnsi="宋体"/>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7571ED" w:rsidRDefault="007571ED" w:rsidP="001765F6">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 xml:space="preserve">项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目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申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 xml:space="preserve">报　</w:t>
      </w:r>
      <w:r w:rsidRPr="00D342DA">
        <w:rPr>
          <w:rFonts w:ascii="方正小标宋_GBK" w:eastAsia="方正小标宋_GBK" w:hAnsi="宋体"/>
          <w:sz w:val="44"/>
          <w:szCs w:val="44"/>
        </w:rPr>
        <w:t xml:space="preserve"> </w:t>
      </w:r>
      <w:r w:rsidRPr="00D342DA">
        <w:rPr>
          <w:rFonts w:ascii="方正小标宋_GBK" w:eastAsia="方正小标宋_GBK" w:hAnsi="宋体" w:hint="eastAsia"/>
          <w:sz w:val="44"/>
          <w:szCs w:val="44"/>
        </w:rPr>
        <w:t>表</w:t>
      </w:r>
    </w:p>
    <w:p w:rsidR="007571ED" w:rsidRPr="00D342DA" w:rsidRDefault="007571ED" w:rsidP="001765F6">
      <w:pPr>
        <w:snapToGrid w:val="0"/>
        <w:jc w:val="center"/>
        <w:rPr>
          <w:rFonts w:ascii="仿宋_GB2312" w:eastAsia="仿宋_GB2312" w:hAnsi="宋体"/>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0"/>
        <w:gridCol w:w="1785"/>
        <w:gridCol w:w="671"/>
        <w:gridCol w:w="1115"/>
        <w:gridCol w:w="1071"/>
        <w:gridCol w:w="676"/>
        <w:gridCol w:w="1745"/>
      </w:tblGrid>
      <w:tr w:rsidR="007571ED" w:rsidRPr="001352FE">
        <w:trPr>
          <w:trHeight w:val="608"/>
        </w:trPr>
        <w:tc>
          <w:tcPr>
            <w:tcW w:w="8663" w:type="dxa"/>
            <w:gridSpan w:val="7"/>
            <w:vAlign w:val="center"/>
          </w:tcPr>
          <w:p w:rsidR="007571ED" w:rsidRPr="003A6213" w:rsidRDefault="007571ED" w:rsidP="006D5231">
            <w:pPr>
              <w:snapToGrid w:val="0"/>
              <w:ind w:left="180"/>
              <w:rPr>
                <w:sz w:val="24"/>
                <w:szCs w:val="24"/>
              </w:rPr>
            </w:pPr>
            <w:r w:rsidRPr="003A6213">
              <w:rPr>
                <w:rFonts w:hAnsi="宋体" w:hint="eastAsia"/>
                <w:sz w:val="24"/>
                <w:szCs w:val="24"/>
              </w:rPr>
              <w:t>项目名称</w:t>
            </w:r>
            <w:r w:rsidRPr="003A6213">
              <w:rPr>
                <w:sz w:val="24"/>
                <w:szCs w:val="24"/>
              </w:rPr>
              <w:t>:</w:t>
            </w:r>
            <w:r w:rsidRPr="003A6213">
              <w:t xml:space="preserve"> </w:t>
            </w:r>
            <w:r w:rsidRPr="003A6213">
              <w:rPr>
                <w:rFonts w:hAnsi="宋体" w:hint="eastAsia"/>
                <w:sz w:val="24"/>
                <w:szCs w:val="24"/>
              </w:rPr>
              <w:t>油用牡丹籽油的提取及其精细化分离研究</w:t>
            </w:r>
          </w:p>
        </w:tc>
      </w:tr>
      <w:tr w:rsidR="007571ED" w:rsidRPr="001352FE">
        <w:trPr>
          <w:trHeight w:val="608"/>
        </w:trPr>
        <w:tc>
          <w:tcPr>
            <w:tcW w:w="1600" w:type="dxa"/>
            <w:vAlign w:val="center"/>
          </w:tcPr>
          <w:p w:rsidR="007571ED" w:rsidRPr="003A6213" w:rsidRDefault="007571ED" w:rsidP="006D5231">
            <w:pPr>
              <w:snapToGrid w:val="0"/>
              <w:ind w:left="180"/>
              <w:rPr>
                <w:sz w:val="24"/>
                <w:szCs w:val="24"/>
              </w:rPr>
            </w:pPr>
            <w:r w:rsidRPr="003A6213">
              <w:rPr>
                <w:rFonts w:hAnsi="宋体" w:hint="eastAsia"/>
                <w:sz w:val="24"/>
                <w:szCs w:val="24"/>
              </w:rPr>
              <w:t>学校名称</w:t>
            </w:r>
          </w:p>
        </w:tc>
        <w:tc>
          <w:tcPr>
            <w:tcW w:w="7063" w:type="dxa"/>
            <w:gridSpan w:val="6"/>
            <w:vAlign w:val="center"/>
          </w:tcPr>
          <w:p w:rsidR="007571ED" w:rsidRPr="003A6213" w:rsidRDefault="007571ED" w:rsidP="006D5231">
            <w:pPr>
              <w:snapToGrid w:val="0"/>
              <w:rPr>
                <w:sz w:val="24"/>
                <w:szCs w:val="24"/>
              </w:rPr>
            </w:pPr>
            <w:r w:rsidRPr="003A6213">
              <w:rPr>
                <w:rFonts w:hAnsi="宋体" w:hint="eastAsia"/>
                <w:sz w:val="24"/>
                <w:szCs w:val="24"/>
              </w:rPr>
              <w:t>中南林业科技大学</w:t>
            </w:r>
          </w:p>
        </w:tc>
      </w:tr>
      <w:tr w:rsidR="007571ED" w:rsidRPr="001352FE">
        <w:trPr>
          <w:trHeight w:val="608"/>
        </w:trPr>
        <w:tc>
          <w:tcPr>
            <w:tcW w:w="1600" w:type="dxa"/>
            <w:vAlign w:val="center"/>
          </w:tcPr>
          <w:p w:rsidR="007571ED" w:rsidRPr="003A6213" w:rsidRDefault="007571ED" w:rsidP="006D5231">
            <w:pPr>
              <w:snapToGrid w:val="0"/>
              <w:ind w:left="180"/>
              <w:rPr>
                <w:sz w:val="24"/>
                <w:szCs w:val="24"/>
              </w:rPr>
            </w:pPr>
            <w:r w:rsidRPr="003A6213">
              <w:rPr>
                <w:rFonts w:hAnsi="宋体" w:hint="eastAsia"/>
                <w:sz w:val="24"/>
                <w:szCs w:val="24"/>
              </w:rPr>
              <w:t>学生姓名</w:t>
            </w:r>
          </w:p>
        </w:tc>
        <w:tc>
          <w:tcPr>
            <w:tcW w:w="1785" w:type="dxa"/>
            <w:vAlign w:val="center"/>
          </w:tcPr>
          <w:p w:rsidR="007571ED" w:rsidRPr="003A6213" w:rsidRDefault="007571ED" w:rsidP="006D5231">
            <w:pPr>
              <w:snapToGrid w:val="0"/>
              <w:jc w:val="center"/>
              <w:rPr>
                <w:sz w:val="24"/>
                <w:szCs w:val="24"/>
              </w:rPr>
            </w:pPr>
            <w:r w:rsidRPr="003A6213">
              <w:rPr>
                <w:rFonts w:hAnsi="宋体" w:hint="eastAsia"/>
                <w:sz w:val="24"/>
                <w:szCs w:val="24"/>
              </w:rPr>
              <w:t>学</w:t>
            </w:r>
            <w:r w:rsidRPr="003A6213">
              <w:rPr>
                <w:sz w:val="24"/>
                <w:szCs w:val="24"/>
              </w:rPr>
              <w:t xml:space="preserve">  </w:t>
            </w:r>
            <w:r w:rsidRPr="003A6213">
              <w:rPr>
                <w:rFonts w:hAnsi="宋体" w:hint="eastAsia"/>
                <w:sz w:val="24"/>
                <w:szCs w:val="24"/>
              </w:rPr>
              <w:t>号</w:t>
            </w:r>
          </w:p>
        </w:tc>
        <w:tc>
          <w:tcPr>
            <w:tcW w:w="1786" w:type="dxa"/>
            <w:gridSpan w:val="2"/>
            <w:vAlign w:val="center"/>
          </w:tcPr>
          <w:p w:rsidR="007571ED" w:rsidRPr="003A6213" w:rsidRDefault="007571ED" w:rsidP="006D5231">
            <w:pPr>
              <w:snapToGrid w:val="0"/>
              <w:jc w:val="center"/>
              <w:rPr>
                <w:sz w:val="24"/>
                <w:szCs w:val="24"/>
              </w:rPr>
            </w:pPr>
            <w:r w:rsidRPr="003A6213">
              <w:rPr>
                <w:rFonts w:hAnsi="宋体" w:hint="eastAsia"/>
                <w:sz w:val="24"/>
                <w:szCs w:val="24"/>
              </w:rPr>
              <w:t>专</w:t>
            </w:r>
            <w:r w:rsidRPr="003A6213">
              <w:rPr>
                <w:sz w:val="24"/>
                <w:szCs w:val="24"/>
              </w:rPr>
              <w:t xml:space="preserve">      </w:t>
            </w:r>
            <w:r w:rsidRPr="003A6213">
              <w:rPr>
                <w:rFonts w:hAnsi="宋体" w:hint="eastAsia"/>
                <w:sz w:val="24"/>
                <w:szCs w:val="24"/>
              </w:rPr>
              <w:t>业</w:t>
            </w:r>
          </w:p>
        </w:tc>
        <w:tc>
          <w:tcPr>
            <w:tcW w:w="1071" w:type="dxa"/>
            <w:vAlign w:val="center"/>
          </w:tcPr>
          <w:p w:rsidR="007571ED" w:rsidRPr="003A6213" w:rsidRDefault="007571ED" w:rsidP="006D5231">
            <w:pPr>
              <w:snapToGrid w:val="0"/>
              <w:jc w:val="center"/>
              <w:rPr>
                <w:sz w:val="24"/>
                <w:szCs w:val="24"/>
              </w:rPr>
            </w:pPr>
            <w:r w:rsidRPr="003A6213">
              <w:rPr>
                <w:rFonts w:hAnsi="宋体" w:hint="eastAsia"/>
                <w:sz w:val="24"/>
                <w:szCs w:val="24"/>
              </w:rPr>
              <w:t>性</w:t>
            </w:r>
            <w:r w:rsidRPr="003A6213">
              <w:rPr>
                <w:sz w:val="24"/>
                <w:szCs w:val="24"/>
              </w:rPr>
              <w:t xml:space="preserve"> </w:t>
            </w:r>
            <w:r w:rsidRPr="003A6213">
              <w:rPr>
                <w:rFonts w:hAnsi="宋体" w:hint="eastAsia"/>
                <w:sz w:val="24"/>
                <w:szCs w:val="24"/>
              </w:rPr>
              <w:t>别</w:t>
            </w:r>
          </w:p>
        </w:tc>
        <w:tc>
          <w:tcPr>
            <w:tcW w:w="2421" w:type="dxa"/>
            <w:gridSpan w:val="2"/>
            <w:vAlign w:val="center"/>
          </w:tcPr>
          <w:p w:rsidR="007571ED" w:rsidRPr="003A6213" w:rsidRDefault="007571ED" w:rsidP="006D5231">
            <w:pPr>
              <w:snapToGrid w:val="0"/>
              <w:jc w:val="center"/>
              <w:rPr>
                <w:sz w:val="24"/>
                <w:szCs w:val="24"/>
              </w:rPr>
            </w:pPr>
            <w:r w:rsidRPr="003A6213">
              <w:rPr>
                <w:rFonts w:hAnsi="宋体" w:hint="eastAsia"/>
                <w:sz w:val="24"/>
                <w:szCs w:val="24"/>
              </w:rPr>
              <w:t>入</w:t>
            </w:r>
            <w:r w:rsidRPr="003A6213">
              <w:rPr>
                <w:sz w:val="24"/>
                <w:szCs w:val="24"/>
              </w:rPr>
              <w:t xml:space="preserve"> </w:t>
            </w:r>
            <w:r w:rsidRPr="003A6213">
              <w:rPr>
                <w:rFonts w:hAnsi="宋体" w:hint="eastAsia"/>
                <w:sz w:val="24"/>
                <w:szCs w:val="24"/>
              </w:rPr>
              <w:t>学</w:t>
            </w:r>
            <w:r w:rsidRPr="003A6213">
              <w:rPr>
                <w:sz w:val="24"/>
                <w:szCs w:val="24"/>
              </w:rPr>
              <w:t xml:space="preserve"> </w:t>
            </w:r>
            <w:r w:rsidRPr="003A6213">
              <w:rPr>
                <w:rFonts w:hAnsi="宋体" w:hint="eastAsia"/>
                <w:sz w:val="24"/>
                <w:szCs w:val="24"/>
              </w:rPr>
              <w:t>年</w:t>
            </w:r>
            <w:r w:rsidRPr="003A6213">
              <w:rPr>
                <w:sz w:val="24"/>
                <w:szCs w:val="24"/>
              </w:rPr>
              <w:t xml:space="preserve"> </w:t>
            </w:r>
            <w:r w:rsidRPr="003A6213">
              <w:rPr>
                <w:rFonts w:hAnsi="宋体" w:hint="eastAsia"/>
                <w:sz w:val="24"/>
                <w:szCs w:val="24"/>
              </w:rPr>
              <w:t>份</w:t>
            </w:r>
          </w:p>
        </w:tc>
      </w:tr>
      <w:tr w:rsidR="007571ED" w:rsidRPr="001352FE">
        <w:trPr>
          <w:trHeight w:val="608"/>
        </w:trPr>
        <w:tc>
          <w:tcPr>
            <w:tcW w:w="1600" w:type="dxa"/>
            <w:vAlign w:val="center"/>
          </w:tcPr>
          <w:p w:rsidR="007571ED" w:rsidRPr="003A6213" w:rsidRDefault="007571ED" w:rsidP="008E139B">
            <w:pPr>
              <w:snapToGrid w:val="0"/>
              <w:ind w:left="180"/>
              <w:jc w:val="center"/>
              <w:rPr>
                <w:sz w:val="24"/>
                <w:szCs w:val="24"/>
              </w:rPr>
            </w:pPr>
            <w:r w:rsidRPr="003A6213">
              <w:rPr>
                <w:rFonts w:hAnsi="宋体" w:hint="eastAsia"/>
                <w:sz w:val="24"/>
                <w:szCs w:val="24"/>
              </w:rPr>
              <w:t>董秀婷</w:t>
            </w:r>
          </w:p>
        </w:tc>
        <w:tc>
          <w:tcPr>
            <w:tcW w:w="1785" w:type="dxa"/>
            <w:vAlign w:val="center"/>
          </w:tcPr>
          <w:p w:rsidR="007571ED" w:rsidRPr="003A6213" w:rsidRDefault="007571ED" w:rsidP="008E139B">
            <w:pPr>
              <w:snapToGrid w:val="0"/>
              <w:jc w:val="center"/>
              <w:rPr>
                <w:sz w:val="24"/>
                <w:szCs w:val="24"/>
              </w:rPr>
            </w:pPr>
            <w:r w:rsidRPr="003A6213">
              <w:rPr>
                <w:sz w:val="24"/>
                <w:szCs w:val="24"/>
              </w:rPr>
              <w:t>20150684</w:t>
            </w:r>
          </w:p>
        </w:tc>
        <w:tc>
          <w:tcPr>
            <w:tcW w:w="1786" w:type="dxa"/>
            <w:gridSpan w:val="2"/>
            <w:vAlign w:val="center"/>
          </w:tcPr>
          <w:p w:rsidR="007571ED" w:rsidRPr="003A6213" w:rsidRDefault="007571ED" w:rsidP="008E139B">
            <w:pPr>
              <w:snapToGrid w:val="0"/>
              <w:jc w:val="center"/>
              <w:rPr>
                <w:sz w:val="24"/>
                <w:szCs w:val="24"/>
              </w:rPr>
            </w:pPr>
            <w:r w:rsidRPr="003A6213">
              <w:rPr>
                <w:rFonts w:hAnsi="宋体" w:hint="eastAsia"/>
                <w:sz w:val="24"/>
                <w:szCs w:val="24"/>
              </w:rPr>
              <w:t>林产化工</w:t>
            </w:r>
          </w:p>
        </w:tc>
        <w:tc>
          <w:tcPr>
            <w:tcW w:w="1071" w:type="dxa"/>
            <w:vAlign w:val="center"/>
          </w:tcPr>
          <w:p w:rsidR="007571ED" w:rsidRPr="003A6213" w:rsidRDefault="007571ED" w:rsidP="008E139B">
            <w:pPr>
              <w:snapToGrid w:val="0"/>
              <w:jc w:val="center"/>
              <w:rPr>
                <w:sz w:val="24"/>
                <w:szCs w:val="24"/>
              </w:rPr>
            </w:pPr>
            <w:r w:rsidRPr="003A6213">
              <w:rPr>
                <w:rFonts w:hAnsi="宋体" w:hint="eastAsia"/>
                <w:sz w:val="24"/>
                <w:szCs w:val="24"/>
              </w:rPr>
              <w:t>女</w:t>
            </w:r>
          </w:p>
        </w:tc>
        <w:tc>
          <w:tcPr>
            <w:tcW w:w="2421" w:type="dxa"/>
            <w:gridSpan w:val="2"/>
            <w:vAlign w:val="center"/>
          </w:tcPr>
          <w:p w:rsidR="007571ED" w:rsidRPr="003A6213" w:rsidRDefault="007571ED" w:rsidP="007571ED">
            <w:pPr>
              <w:snapToGrid w:val="0"/>
              <w:ind w:firstLineChars="300" w:firstLine="31680"/>
              <w:rPr>
                <w:sz w:val="24"/>
                <w:szCs w:val="24"/>
              </w:rPr>
            </w:pPr>
            <w:r>
              <w:rPr>
                <w:sz w:val="24"/>
                <w:szCs w:val="24"/>
              </w:rPr>
              <w:t>2015</w:t>
            </w:r>
            <w:r>
              <w:rPr>
                <w:rFonts w:hint="eastAsia"/>
                <w:sz w:val="24"/>
                <w:szCs w:val="24"/>
              </w:rPr>
              <w:t>年</w:t>
            </w:r>
          </w:p>
        </w:tc>
      </w:tr>
      <w:tr w:rsidR="007571ED" w:rsidRPr="001352FE">
        <w:trPr>
          <w:trHeight w:val="608"/>
        </w:trPr>
        <w:tc>
          <w:tcPr>
            <w:tcW w:w="1600" w:type="dxa"/>
            <w:vAlign w:val="center"/>
          </w:tcPr>
          <w:p w:rsidR="007571ED" w:rsidRPr="003A6213" w:rsidRDefault="007571ED" w:rsidP="008E139B">
            <w:pPr>
              <w:snapToGrid w:val="0"/>
              <w:ind w:left="180"/>
              <w:jc w:val="center"/>
              <w:rPr>
                <w:sz w:val="24"/>
                <w:szCs w:val="24"/>
              </w:rPr>
            </w:pPr>
            <w:r w:rsidRPr="003A6213">
              <w:rPr>
                <w:rFonts w:hAnsi="宋体" w:hint="eastAsia"/>
                <w:sz w:val="24"/>
                <w:szCs w:val="24"/>
              </w:rPr>
              <w:t>王秋敏</w:t>
            </w:r>
          </w:p>
        </w:tc>
        <w:tc>
          <w:tcPr>
            <w:tcW w:w="1785" w:type="dxa"/>
            <w:vAlign w:val="center"/>
          </w:tcPr>
          <w:p w:rsidR="007571ED" w:rsidRPr="003A6213" w:rsidRDefault="007571ED" w:rsidP="008E139B">
            <w:pPr>
              <w:snapToGrid w:val="0"/>
              <w:jc w:val="center"/>
              <w:rPr>
                <w:sz w:val="24"/>
                <w:szCs w:val="24"/>
              </w:rPr>
            </w:pPr>
            <w:r w:rsidRPr="003A6213">
              <w:rPr>
                <w:sz w:val="24"/>
                <w:szCs w:val="24"/>
              </w:rPr>
              <w:t>20150709</w:t>
            </w:r>
          </w:p>
        </w:tc>
        <w:tc>
          <w:tcPr>
            <w:tcW w:w="1786" w:type="dxa"/>
            <w:gridSpan w:val="2"/>
            <w:vAlign w:val="center"/>
          </w:tcPr>
          <w:p w:rsidR="007571ED" w:rsidRPr="003A6213" w:rsidRDefault="007571ED" w:rsidP="008E139B">
            <w:pPr>
              <w:snapToGrid w:val="0"/>
              <w:jc w:val="center"/>
              <w:rPr>
                <w:sz w:val="24"/>
                <w:szCs w:val="24"/>
              </w:rPr>
            </w:pPr>
            <w:r w:rsidRPr="003A6213">
              <w:rPr>
                <w:rFonts w:hAnsi="宋体" w:hint="eastAsia"/>
                <w:sz w:val="24"/>
                <w:szCs w:val="24"/>
              </w:rPr>
              <w:t>林产化工</w:t>
            </w:r>
          </w:p>
        </w:tc>
        <w:tc>
          <w:tcPr>
            <w:tcW w:w="1071" w:type="dxa"/>
            <w:vAlign w:val="center"/>
          </w:tcPr>
          <w:p w:rsidR="007571ED" w:rsidRPr="003A6213" w:rsidRDefault="007571ED" w:rsidP="008E139B">
            <w:pPr>
              <w:snapToGrid w:val="0"/>
              <w:jc w:val="center"/>
              <w:rPr>
                <w:sz w:val="24"/>
                <w:szCs w:val="24"/>
              </w:rPr>
            </w:pPr>
            <w:r w:rsidRPr="003A6213">
              <w:rPr>
                <w:rFonts w:hAnsi="宋体" w:hint="eastAsia"/>
                <w:sz w:val="24"/>
                <w:szCs w:val="24"/>
              </w:rPr>
              <w:t>女</w:t>
            </w:r>
          </w:p>
        </w:tc>
        <w:tc>
          <w:tcPr>
            <w:tcW w:w="2421" w:type="dxa"/>
            <w:gridSpan w:val="2"/>
            <w:vAlign w:val="center"/>
          </w:tcPr>
          <w:p w:rsidR="007571ED" w:rsidRPr="003A6213" w:rsidRDefault="007571ED" w:rsidP="007571ED">
            <w:pPr>
              <w:snapToGrid w:val="0"/>
              <w:ind w:firstLineChars="300" w:firstLine="31680"/>
              <w:rPr>
                <w:sz w:val="24"/>
                <w:szCs w:val="24"/>
              </w:rPr>
            </w:pPr>
            <w:r>
              <w:rPr>
                <w:sz w:val="24"/>
                <w:szCs w:val="24"/>
              </w:rPr>
              <w:t>2015</w:t>
            </w:r>
            <w:r>
              <w:rPr>
                <w:rFonts w:hint="eastAsia"/>
                <w:sz w:val="24"/>
                <w:szCs w:val="24"/>
              </w:rPr>
              <w:t>年</w:t>
            </w:r>
          </w:p>
        </w:tc>
      </w:tr>
      <w:tr w:rsidR="007571ED" w:rsidRPr="001352FE">
        <w:trPr>
          <w:trHeight w:val="608"/>
        </w:trPr>
        <w:tc>
          <w:tcPr>
            <w:tcW w:w="1600" w:type="dxa"/>
            <w:vAlign w:val="center"/>
          </w:tcPr>
          <w:p w:rsidR="007571ED" w:rsidRPr="003A6213" w:rsidRDefault="007571ED" w:rsidP="008E139B">
            <w:pPr>
              <w:snapToGrid w:val="0"/>
              <w:ind w:left="180"/>
              <w:jc w:val="center"/>
              <w:rPr>
                <w:sz w:val="24"/>
                <w:szCs w:val="24"/>
              </w:rPr>
            </w:pPr>
            <w:r w:rsidRPr="003A6213">
              <w:rPr>
                <w:rFonts w:hAnsi="宋体" w:hint="eastAsia"/>
                <w:sz w:val="24"/>
                <w:szCs w:val="24"/>
              </w:rPr>
              <w:t>陈鹏</w:t>
            </w:r>
          </w:p>
        </w:tc>
        <w:tc>
          <w:tcPr>
            <w:tcW w:w="1785" w:type="dxa"/>
            <w:vAlign w:val="center"/>
          </w:tcPr>
          <w:p w:rsidR="007571ED" w:rsidRPr="003A6213" w:rsidRDefault="007571ED" w:rsidP="008E139B">
            <w:pPr>
              <w:snapToGrid w:val="0"/>
              <w:jc w:val="center"/>
              <w:rPr>
                <w:sz w:val="24"/>
                <w:szCs w:val="24"/>
              </w:rPr>
            </w:pPr>
            <w:r w:rsidRPr="003A6213">
              <w:rPr>
                <w:sz w:val="24"/>
                <w:szCs w:val="24"/>
              </w:rPr>
              <w:t>20150678</w:t>
            </w:r>
          </w:p>
        </w:tc>
        <w:tc>
          <w:tcPr>
            <w:tcW w:w="1786" w:type="dxa"/>
            <w:gridSpan w:val="2"/>
            <w:vAlign w:val="center"/>
          </w:tcPr>
          <w:p w:rsidR="007571ED" w:rsidRPr="003A6213" w:rsidRDefault="007571ED" w:rsidP="008E139B">
            <w:pPr>
              <w:snapToGrid w:val="0"/>
              <w:jc w:val="center"/>
              <w:rPr>
                <w:sz w:val="24"/>
                <w:szCs w:val="24"/>
              </w:rPr>
            </w:pPr>
            <w:r w:rsidRPr="003A6213">
              <w:rPr>
                <w:rFonts w:hAnsi="宋体" w:hint="eastAsia"/>
                <w:sz w:val="24"/>
                <w:szCs w:val="24"/>
              </w:rPr>
              <w:t>林产化工</w:t>
            </w:r>
          </w:p>
        </w:tc>
        <w:tc>
          <w:tcPr>
            <w:tcW w:w="1071" w:type="dxa"/>
            <w:vAlign w:val="center"/>
          </w:tcPr>
          <w:p w:rsidR="007571ED" w:rsidRPr="003A6213" w:rsidRDefault="007571ED" w:rsidP="008E139B">
            <w:pPr>
              <w:snapToGrid w:val="0"/>
              <w:jc w:val="center"/>
              <w:rPr>
                <w:sz w:val="24"/>
                <w:szCs w:val="24"/>
              </w:rPr>
            </w:pPr>
            <w:r w:rsidRPr="003A6213">
              <w:rPr>
                <w:rFonts w:hAnsi="宋体" w:hint="eastAsia"/>
                <w:sz w:val="24"/>
                <w:szCs w:val="24"/>
              </w:rPr>
              <w:t>男</w:t>
            </w:r>
          </w:p>
        </w:tc>
        <w:tc>
          <w:tcPr>
            <w:tcW w:w="2421" w:type="dxa"/>
            <w:gridSpan w:val="2"/>
            <w:vAlign w:val="center"/>
          </w:tcPr>
          <w:p w:rsidR="007571ED" w:rsidRPr="003A6213" w:rsidRDefault="007571ED" w:rsidP="007571ED">
            <w:pPr>
              <w:snapToGrid w:val="0"/>
              <w:ind w:firstLineChars="300" w:firstLine="31680"/>
              <w:rPr>
                <w:sz w:val="24"/>
                <w:szCs w:val="24"/>
              </w:rPr>
            </w:pPr>
            <w:r>
              <w:rPr>
                <w:sz w:val="24"/>
                <w:szCs w:val="24"/>
              </w:rPr>
              <w:t>2015</w:t>
            </w:r>
            <w:r>
              <w:rPr>
                <w:rFonts w:hint="eastAsia"/>
                <w:sz w:val="24"/>
                <w:szCs w:val="24"/>
              </w:rPr>
              <w:t>年</w:t>
            </w:r>
          </w:p>
        </w:tc>
      </w:tr>
      <w:tr w:rsidR="007571ED" w:rsidRPr="001352FE">
        <w:trPr>
          <w:trHeight w:val="608"/>
        </w:trPr>
        <w:tc>
          <w:tcPr>
            <w:tcW w:w="1600" w:type="dxa"/>
            <w:vAlign w:val="center"/>
          </w:tcPr>
          <w:p w:rsidR="007571ED" w:rsidRPr="003A6213" w:rsidRDefault="007571ED" w:rsidP="008E139B">
            <w:pPr>
              <w:snapToGrid w:val="0"/>
              <w:ind w:left="180"/>
              <w:jc w:val="center"/>
              <w:rPr>
                <w:sz w:val="24"/>
                <w:szCs w:val="24"/>
              </w:rPr>
            </w:pPr>
            <w:r w:rsidRPr="003A6213">
              <w:rPr>
                <w:rFonts w:hAnsi="宋体" w:hint="eastAsia"/>
                <w:sz w:val="24"/>
                <w:szCs w:val="24"/>
              </w:rPr>
              <w:t>张明婉</w:t>
            </w:r>
          </w:p>
        </w:tc>
        <w:tc>
          <w:tcPr>
            <w:tcW w:w="1785" w:type="dxa"/>
            <w:vAlign w:val="center"/>
          </w:tcPr>
          <w:p w:rsidR="007571ED" w:rsidRPr="003A6213" w:rsidRDefault="007571ED" w:rsidP="008E139B">
            <w:pPr>
              <w:snapToGrid w:val="0"/>
              <w:jc w:val="center"/>
              <w:rPr>
                <w:sz w:val="24"/>
                <w:szCs w:val="24"/>
              </w:rPr>
            </w:pPr>
            <w:r w:rsidRPr="003A6213">
              <w:rPr>
                <w:sz w:val="24"/>
                <w:szCs w:val="24"/>
              </w:rPr>
              <w:t>20160739</w:t>
            </w:r>
          </w:p>
        </w:tc>
        <w:tc>
          <w:tcPr>
            <w:tcW w:w="1786" w:type="dxa"/>
            <w:gridSpan w:val="2"/>
            <w:vAlign w:val="center"/>
          </w:tcPr>
          <w:p w:rsidR="007571ED" w:rsidRPr="003A6213" w:rsidRDefault="007571ED" w:rsidP="008E139B">
            <w:pPr>
              <w:snapToGrid w:val="0"/>
              <w:jc w:val="center"/>
              <w:rPr>
                <w:sz w:val="24"/>
                <w:szCs w:val="24"/>
              </w:rPr>
            </w:pPr>
            <w:r w:rsidRPr="003A6213">
              <w:rPr>
                <w:rFonts w:hAnsi="宋体" w:hint="eastAsia"/>
                <w:sz w:val="24"/>
                <w:szCs w:val="24"/>
              </w:rPr>
              <w:t>林产化工</w:t>
            </w:r>
          </w:p>
        </w:tc>
        <w:tc>
          <w:tcPr>
            <w:tcW w:w="1071" w:type="dxa"/>
            <w:vAlign w:val="center"/>
          </w:tcPr>
          <w:p w:rsidR="007571ED" w:rsidRPr="003A6213" w:rsidRDefault="007571ED" w:rsidP="008E139B">
            <w:pPr>
              <w:snapToGrid w:val="0"/>
              <w:jc w:val="center"/>
              <w:rPr>
                <w:sz w:val="24"/>
                <w:szCs w:val="24"/>
              </w:rPr>
            </w:pPr>
            <w:r w:rsidRPr="003A6213">
              <w:rPr>
                <w:rFonts w:hAnsi="宋体" w:hint="eastAsia"/>
                <w:sz w:val="24"/>
                <w:szCs w:val="24"/>
              </w:rPr>
              <w:t>女</w:t>
            </w:r>
          </w:p>
        </w:tc>
        <w:tc>
          <w:tcPr>
            <w:tcW w:w="2421" w:type="dxa"/>
            <w:gridSpan w:val="2"/>
            <w:vAlign w:val="center"/>
          </w:tcPr>
          <w:p w:rsidR="007571ED" w:rsidRPr="003A6213" w:rsidRDefault="007571ED" w:rsidP="007571ED">
            <w:pPr>
              <w:snapToGrid w:val="0"/>
              <w:ind w:firstLineChars="300" w:firstLine="31680"/>
              <w:rPr>
                <w:sz w:val="24"/>
                <w:szCs w:val="24"/>
              </w:rPr>
            </w:pPr>
            <w:r>
              <w:rPr>
                <w:sz w:val="24"/>
                <w:szCs w:val="24"/>
              </w:rPr>
              <w:t>2016</w:t>
            </w:r>
            <w:r>
              <w:rPr>
                <w:rFonts w:hint="eastAsia"/>
                <w:sz w:val="24"/>
                <w:szCs w:val="24"/>
              </w:rPr>
              <w:t>年</w:t>
            </w:r>
          </w:p>
        </w:tc>
      </w:tr>
      <w:tr w:rsidR="007571ED" w:rsidRPr="001352FE">
        <w:trPr>
          <w:trHeight w:val="608"/>
        </w:trPr>
        <w:tc>
          <w:tcPr>
            <w:tcW w:w="1600" w:type="dxa"/>
            <w:vAlign w:val="center"/>
          </w:tcPr>
          <w:p w:rsidR="007571ED" w:rsidRPr="003A6213" w:rsidRDefault="007571ED" w:rsidP="008E139B">
            <w:pPr>
              <w:snapToGrid w:val="0"/>
              <w:ind w:left="180"/>
              <w:jc w:val="center"/>
              <w:rPr>
                <w:sz w:val="24"/>
                <w:szCs w:val="24"/>
              </w:rPr>
            </w:pPr>
            <w:r w:rsidRPr="003A6213">
              <w:rPr>
                <w:rFonts w:hAnsi="宋体" w:hint="eastAsia"/>
                <w:sz w:val="24"/>
                <w:szCs w:val="24"/>
              </w:rPr>
              <w:t>刘铖</w:t>
            </w:r>
          </w:p>
        </w:tc>
        <w:tc>
          <w:tcPr>
            <w:tcW w:w="1785" w:type="dxa"/>
            <w:vAlign w:val="center"/>
          </w:tcPr>
          <w:p w:rsidR="007571ED" w:rsidRPr="003A6213" w:rsidRDefault="007571ED" w:rsidP="008E139B">
            <w:pPr>
              <w:snapToGrid w:val="0"/>
              <w:jc w:val="center"/>
              <w:rPr>
                <w:sz w:val="24"/>
                <w:szCs w:val="24"/>
              </w:rPr>
            </w:pPr>
            <w:r w:rsidRPr="003A6213">
              <w:rPr>
                <w:sz w:val="24"/>
                <w:szCs w:val="24"/>
              </w:rPr>
              <w:t>20160709</w:t>
            </w:r>
          </w:p>
        </w:tc>
        <w:tc>
          <w:tcPr>
            <w:tcW w:w="1786" w:type="dxa"/>
            <w:gridSpan w:val="2"/>
            <w:vAlign w:val="center"/>
          </w:tcPr>
          <w:p w:rsidR="007571ED" w:rsidRPr="003A6213" w:rsidRDefault="007571ED" w:rsidP="008E139B">
            <w:pPr>
              <w:snapToGrid w:val="0"/>
              <w:jc w:val="center"/>
              <w:rPr>
                <w:sz w:val="24"/>
                <w:szCs w:val="24"/>
              </w:rPr>
            </w:pPr>
            <w:r w:rsidRPr="003A6213">
              <w:rPr>
                <w:rFonts w:hAnsi="宋体" w:hint="eastAsia"/>
                <w:sz w:val="24"/>
                <w:szCs w:val="24"/>
              </w:rPr>
              <w:t>林产化工</w:t>
            </w:r>
          </w:p>
        </w:tc>
        <w:tc>
          <w:tcPr>
            <w:tcW w:w="1071" w:type="dxa"/>
            <w:vAlign w:val="center"/>
          </w:tcPr>
          <w:p w:rsidR="007571ED" w:rsidRPr="003A6213" w:rsidRDefault="007571ED" w:rsidP="008E139B">
            <w:pPr>
              <w:snapToGrid w:val="0"/>
              <w:jc w:val="center"/>
              <w:rPr>
                <w:sz w:val="24"/>
                <w:szCs w:val="24"/>
              </w:rPr>
            </w:pPr>
            <w:r w:rsidRPr="003A6213">
              <w:rPr>
                <w:rFonts w:hAnsi="宋体" w:hint="eastAsia"/>
                <w:sz w:val="24"/>
                <w:szCs w:val="24"/>
              </w:rPr>
              <w:t>男</w:t>
            </w:r>
          </w:p>
        </w:tc>
        <w:tc>
          <w:tcPr>
            <w:tcW w:w="2421" w:type="dxa"/>
            <w:gridSpan w:val="2"/>
            <w:vAlign w:val="center"/>
          </w:tcPr>
          <w:p w:rsidR="007571ED" w:rsidRPr="003A6213" w:rsidRDefault="007571ED" w:rsidP="007571ED">
            <w:pPr>
              <w:snapToGrid w:val="0"/>
              <w:ind w:firstLineChars="300" w:firstLine="31680"/>
              <w:rPr>
                <w:sz w:val="24"/>
                <w:szCs w:val="24"/>
              </w:rPr>
            </w:pPr>
            <w:bookmarkStart w:id="0" w:name="_GoBack"/>
            <w:bookmarkEnd w:id="0"/>
            <w:r>
              <w:rPr>
                <w:sz w:val="24"/>
                <w:szCs w:val="24"/>
              </w:rPr>
              <w:t>2016</w:t>
            </w:r>
            <w:r>
              <w:rPr>
                <w:rFonts w:hint="eastAsia"/>
                <w:sz w:val="24"/>
                <w:szCs w:val="24"/>
              </w:rPr>
              <w:t>年</w:t>
            </w:r>
          </w:p>
        </w:tc>
      </w:tr>
      <w:tr w:rsidR="007571ED" w:rsidRPr="001352FE">
        <w:trPr>
          <w:trHeight w:val="608"/>
        </w:trPr>
        <w:tc>
          <w:tcPr>
            <w:tcW w:w="1600" w:type="dxa"/>
            <w:vAlign w:val="center"/>
          </w:tcPr>
          <w:p w:rsidR="007571ED" w:rsidRPr="001352FE" w:rsidRDefault="007571ED" w:rsidP="006D5231">
            <w:pPr>
              <w:snapToGrid w:val="0"/>
              <w:ind w:left="180"/>
              <w:rPr>
                <w:rFonts w:ascii="宋体"/>
                <w:sz w:val="24"/>
                <w:szCs w:val="24"/>
              </w:rPr>
            </w:pPr>
            <w:r w:rsidRPr="001352FE">
              <w:rPr>
                <w:rFonts w:ascii="宋体" w:hAnsi="宋体" w:hint="eastAsia"/>
                <w:sz w:val="24"/>
                <w:szCs w:val="24"/>
              </w:rPr>
              <w:t>指导教师</w:t>
            </w:r>
          </w:p>
        </w:tc>
        <w:tc>
          <w:tcPr>
            <w:tcW w:w="2456" w:type="dxa"/>
            <w:gridSpan w:val="2"/>
            <w:vAlign w:val="center"/>
          </w:tcPr>
          <w:p w:rsidR="007571ED" w:rsidRPr="001352FE" w:rsidRDefault="007571ED" w:rsidP="006D5231">
            <w:pPr>
              <w:snapToGrid w:val="0"/>
              <w:jc w:val="center"/>
              <w:rPr>
                <w:rFonts w:ascii="宋体"/>
                <w:sz w:val="24"/>
                <w:szCs w:val="24"/>
              </w:rPr>
            </w:pPr>
            <w:r>
              <w:rPr>
                <w:rFonts w:ascii="宋体" w:hAnsi="宋体" w:hint="eastAsia"/>
                <w:sz w:val="24"/>
                <w:szCs w:val="24"/>
              </w:rPr>
              <w:t>杨国恩</w:t>
            </w:r>
          </w:p>
        </w:tc>
        <w:tc>
          <w:tcPr>
            <w:tcW w:w="1115" w:type="dxa"/>
            <w:vAlign w:val="center"/>
          </w:tcPr>
          <w:p w:rsidR="007571ED" w:rsidRPr="001352FE" w:rsidRDefault="007571ED" w:rsidP="006D5231">
            <w:pPr>
              <w:snapToGrid w:val="0"/>
              <w:jc w:val="center"/>
              <w:rPr>
                <w:rFonts w:ascii="宋体"/>
                <w:sz w:val="24"/>
                <w:szCs w:val="24"/>
              </w:rPr>
            </w:pPr>
            <w:r w:rsidRPr="001352FE">
              <w:rPr>
                <w:rFonts w:ascii="宋体" w:hAnsi="宋体" w:hint="eastAsia"/>
                <w:sz w:val="24"/>
                <w:szCs w:val="24"/>
              </w:rPr>
              <w:t>职称</w:t>
            </w:r>
          </w:p>
        </w:tc>
        <w:tc>
          <w:tcPr>
            <w:tcW w:w="3492" w:type="dxa"/>
            <w:gridSpan w:val="3"/>
            <w:vAlign w:val="center"/>
          </w:tcPr>
          <w:p w:rsidR="007571ED" w:rsidRPr="001352FE" w:rsidRDefault="007571ED" w:rsidP="006D5231">
            <w:pPr>
              <w:snapToGrid w:val="0"/>
              <w:ind w:left="864"/>
              <w:rPr>
                <w:rFonts w:ascii="宋体"/>
                <w:sz w:val="24"/>
                <w:szCs w:val="24"/>
              </w:rPr>
            </w:pPr>
            <w:r>
              <w:rPr>
                <w:rFonts w:ascii="宋体" w:hAnsi="宋体" w:hint="eastAsia"/>
                <w:sz w:val="24"/>
                <w:szCs w:val="24"/>
              </w:rPr>
              <w:t>副教授</w:t>
            </w:r>
          </w:p>
        </w:tc>
      </w:tr>
      <w:tr w:rsidR="007571ED" w:rsidRPr="001352FE">
        <w:trPr>
          <w:trHeight w:val="608"/>
        </w:trPr>
        <w:tc>
          <w:tcPr>
            <w:tcW w:w="1600" w:type="dxa"/>
            <w:vAlign w:val="center"/>
          </w:tcPr>
          <w:p w:rsidR="007571ED" w:rsidRDefault="007571ED" w:rsidP="006D5231">
            <w:pPr>
              <w:snapToGrid w:val="0"/>
              <w:jc w:val="center"/>
              <w:rPr>
                <w:rFonts w:ascii="宋体"/>
                <w:sz w:val="24"/>
                <w:szCs w:val="24"/>
              </w:rPr>
            </w:pPr>
            <w:r w:rsidRPr="00C878CD">
              <w:rPr>
                <w:rFonts w:ascii="宋体" w:hAnsi="宋体" w:hint="eastAsia"/>
                <w:sz w:val="24"/>
                <w:szCs w:val="24"/>
              </w:rPr>
              <w:t>项目所属</w:t>
            </w:r>
          </w:p>
          <w:p w:rsidR="007571ED" w:rsidRPr="001352FE" w:rsidRDefault="007571ED" w:rsidP="006D5231">
            <w:pPr>
              <w:snapToGrid w:val="0"/>
              <w:ind w:left="180"/>
              <w:rPr>
                <w:rFonts w:ascii="宋体"/>
                <w:sz w:val="24"/>
                <w:szCs w:val="24"/>
              </w:rPr>
            </w:pPr>
            <w:r w:rsidRPr="00C878CD">
              <w:rPr>
                <w:rFonts w:ascii="宋体" w:hAnsi="宋体" w:hint="eastAsia"/>
                <w:sz w:val="24"/>
                <w:szCs w:val="24"/>
              </w:rPr>
              <w:t>一级学科</w:t>
            </w:r>
          </w:p>
        </w:tc>
        <w:tc>
          <w:tcPr>
            <w:tcW w:w="2456" w:type="dxa"/>
            <w:gridSpan w:val="2"/>
            <w:vAlign w:val="center"/>
          </w:tcPr>
          <w:p w:rsidR="007571ED" w:rsidRPr="001352FE" w:rsidRDefault="007571ED" w:rsidP="006D5231">
            <w:pPr>
              <w:snapToGrid w:val="0"/>
              <w:jc w:val="center"/>
              <w:rPr>
                <w:rFonts w:ascii="宋体"/>
                <w:sz w:val="24"/>
                <w:szCs w:val="24"/>
              </w:rPr>
            </w:pPr>
            <w:r>
              <w:rPr>
                <w:rFonts w:ascii="宋体" w:hAnsi="宋体" w:hint="eastAsia"/>
                <w:sz w:val="24"/>
                <w:szCs w:val="24"/>
              </w:rPr>
              <w:t>林业工程</w:t>
            </w:r>
          </w:p>
        </w:tc>
        <w:tc>
          <w:tcPr>
            <w:tcW w:w="2862" w:type="dxa"/>
            <w:gridSpan w:val="3"/>
            <w:vAlign w:val="center"/>
          </w:tcPr>
          <w:p w:rsidR="007571ED" w:rsidRPr="00C878CD" w:rsidRDefault="007571ED" w:rsidP="006D5231">
            <w:pPr>
              <w:snapToGrid w:val="0"/>
              <w:ind w:left="180"/>
              <w:rPr>
                <w:rFonts w:ascii="宋体"/>
                <w:sz w:val="24"/>
                <w:szCs w:val="24"/>
              </w:rPr>
            </w:pPr>
            <w:r w:rsidRPr="00A7150B">
              <w:rPr>
                <w:rFonts w:ascii="宋体" w:hAnsi="宋体" w:hint="eastAsia"/>
                <w:sz w:val="24"/>
                <w:szCs w:val="24"/>
              </w:rPr>
              <w:t>项目科类</w:t>
            </w:r>
            <w:r w:rsidRPr="00A7150B">
              <w:rPr>
                <w:rFonts w:ascii="宋体" w:hAnsi="宋体"/>
                <w:sz w:val="24"/>
                <w:szCs w:val="24"/>
              </w:rPr>
              <w:t>(</w:t>
            </w:r>
            <w:r w:rsidRPr="00A7150B">
              <w:rPr>
                <w:rFonts w:ascii="宋体" w:hAnsi="宋体" w:hint="eastAsia"/>
                <w:sz w:val="24"/>
                <w:szCs w:val="24"/>
              </w:rPr>
              <w:t>理科</w:t>
            </w:r>
            <w:r w:rsidRPr="00A7150B">
              <w:rPr>
                <w:rFonts w:ascii="宋体" w:hAnsi="宋体"/>
                <w:sz w:val="24"/>
                <w:szCs w:val="24"/>
              </w:rPr>
              <w:t>/</w:t>
            </w:r>
            <w:r w:rsidRPr="00A7150B">
              <w:rPr>
                <w:rFonts w:ascii="宋体" w:hAnsi="宋体" w:hint="eastAsia"/>
                <w:sz w:val="24"/>
                <w:szCs w:val="24"/>
              </w:rPr>
              <w:t>文科</w:t>
            </w:r>
            <w:r w:rsidRPr="00A7150B">
              <w:rPr>
                <w:rFonts w:ascii="宋体" w:hAnsi="宋体"/>
                <w:sz w:val="24"/>
                <w:szCs w:val="24"/>
              </w:rPr>
              <w:t>)</w:t>
            </w:r>
          </w:p>
        </w:tc>
        <w:tc>
          <w:tcPr>
            <w:tcW w:w="1745" w:type="dxa"/>
            <w:vAlign w:val="center"/>
          </w:tcPr>
          <w:p w:rsidR="007571ED" w:rsidRPr="001352FE" w:rsidRDefault="007571ED" w:rsidP="007571ED">
            <w:pPr>
              <w:snapToGrid w:val="0"/>
              <w:ind w:firstLineChars="200" w:firstLine="31680"/>
              <w:rPr>
                <w:rFonts w:ascii="宋体"/>
                <w:sz w:val="24"/>
                <w:szCs w:val="24"/>
              </w:rPr>
            </w:pPr>
            <w:r>
              <w:rPr>
                <w:rFonts w:ascii="宋体" w:hAnsi="宋体" w:hint="eastAsia"/>
                <w:sz w:val="24"/>
                <w:szCs w:val="24"/>
              </w:rPr>
              <w:t>理科</w:t>
            </w:r>
          </w:p>
        </w:tc>
      </w:tr>
      <w:tr w:rsidR="007571ED" w:rsidRPr="001352FE">
        <w:trPr>
          <w:trHeight w:val="2150"/>
        </w:trPr>
        <w:tc>
          <w:tcPr>
            <w:tcW w:w="8663" w:type="dxa"/>
            <w:gridSpan w:val="7"/>
          </w:tcPr>
          <w:p w:rsidR="007571ED" w:rsidRPr="008850AD" w:rsidRDefault="007571ED" w:rsidP="009D23DC">
            <w:pPr>
              <w:snapToGrid w:val="0"/>
              <w:spacing w:line="360" w:lineRule="auto"/>
              <w:rPr>
                <w:sz w:val="24"/>
                <w:szCs w:val="24"/>
              </w:rPr>
            </w:pPr>
            <w:r w:rsidRPr="008850AD">
              <w:rPr>
                <w:rFonts w:hint="eastAsia"/>
                <w:sz w:val="24"/>
                <w:szCs w:val="24"/>
              </w:rPr>
              <w:t>学生曾经参与科研的情况</w:t>
            </w:r>
          </w:p>
          <w:p w:rsidR="007571ED" w:rsidRPr="00A43A3E" w:rsidRDefault="007571ED" w:rsidP="00A43A3E">
            <w:pPr>
              <w:snapToGrid w:val="0"/>
              <w:spacing w:line="360" w:lineRule="auto"/>
              <w:ind w:firstLine="495"/>
              <w:rPr>
                <w:sz w:val="24"/>
                <w:szCs w:val="24"/>
              </w:rPr>
            </w:pPr>
            <w:r w:rsidRPr="008850AD">
              <w:rPr>
                <w:rFonts w:hint="eastAsia"/>
                <w:sz w:val="24"/>
                <w:szCs w:val="24"/>
              </w:rPr>
              <w:t>作为中南林业科技大学材料科学与工程学院遴选出的第一批卓越计划人才，董秀婷、王秋敏、陈鹏三位同学一直参与杨国恩老师主持的</w:t>
            </w:r>
            <w:r w:rsidRPr="008850AD">
              <w:rPr>
                <w:sz w:val="24"/>
                <w:szCs w:val="24"/>
              </w:rPr>
              <w:t>2015</w:t>
            </w:r>
            <w:r w:rsidRPr="008850AD">
              <w:rPr>
                <w:rFonts w:hint="eastAsia"/>
                <w:sz w:val="24"/>
                <w:szCs w:val="24"/>
              </w:rPr>
              <w:t>年度湖南省重点研发计划项目的实验，配合同专业高年级同学完成了迷迭香脂溶性提取物中鼠尾草酸和鼠尾草酚的分离方法及其优化工艺的研究工作，</w:t>
            </w:r>
            <w:bookmarkStart w:id="1" w:name="_Toc9765"/>
            <w:r w:rsidRPr="008850AD">
              <w:rPr>
                <w:rFonts w:hint="eastAsia"/>
                <w:sz w:val="24"/>
                <w:szCs w:val="24"/>
              </w:rPr>
              <w:t>积累了一定的组织和实施科研实验的能力和经验</w:t>
            </w:r>
            <w:r>
              <w:rPr>
                <w:rFonts w:hint="eastAsia"/>
                <w:sz w:val="24"/>
                <w:szCs w:val="24"/>
              </w:rPr>
              <w:t>，</w:t>
            </w:r>
            <w:r w:rsidRPr="008850AD">
              <w:rPr>
                <w:rFonts w:hint="eastAsia"/>
                <w:sz w:val="24"/>
                <w:szCs w:val="24"/>
              </w:rPr>
              <w:t>参与撰写的论文《迷迭香脂溶性提取物中鼠尾草酚、鼠尾草酸和熊果酸的分离与纯化</w:t>
            </w:r>
            <w:bookmarkEnd w:id="1"/>
            <w:r w:rsidRPr="008850AD">
              <w:rPr>
                <w:rFonts w:hint="eastAsia"/>
                <w:sz w:val="24"/>
                <w:szCs w:val="24"/>
              </w:rPr>
              <w:t>》</w:t>
            </w:r>
            <w:r>
              <w:rPr>
                <w:rFonts w:hint="eastAsia"/>
                <w:sz w:val="24"/>
                <w:szCs w:val="24"/>
              </w:rPr>
              <w:t>于</w:t>
            </w:r>
            <w:r w:rsidRPr="008850AD">
              <w:rPr>
                <w:sz w:val="24"/>
                <w:szCs w:val="24"/>
              </w:rPr>
              <w:t>2017</w:t>
            </w:r>
            <w:r w:rsidRPr="008850AD">
              <w:rPr>
                <w:rFonts w:hint="eastAsia"/>
                <w:sz w:val="24"/>
                <w:szCs w:val="24"/>
              </w:rPr>
              <w:t>年</w:t>
            </w:r>
            <w:r w:rsidRPr="008850AD">
              <w:rPr>
                <w:sz w:val="24"/>
                <w:szCs w:val="24"/>
              </w:rPr>
              <w:t>4</w:t>
            </w:r>
            <w:r w:rsidRPr="008850AD">
              <w:rPr>
                <w:rFonts w:hint="eastAsia"/>
                <w:sz w:val="24"/>
                <w:szCs w:val="24"/>
              </w:rPr>
              <w:t>月获得中南林业科技大学</w:t>
            </w:r>
            <w:r w:rsidRPr="00A43A3E">
              <w:rPr>
                <w:rFonts w:ascii="宋体" w:hint="eastAsia"/>
                <w:sz w:val="24"/>
                <w:szCs w:val="24"/>
              </w:rPr>
              <w:t>“</w:t>
            </w:r>
            <w:r w:rsidRPr="00A43A3E">
              <w:rPr>
                <w:rFonts w:ascii="宋体" w:hAnsi="宋体" w:hint="eastAsia"/>
                <w:sz w:val="24"/>
                <w:szCs w:val="24"/>
              </w:rPr>
              <w:t>挑战杯</w:t>
            </w:r>
            <w:r w:rsidRPr="00A43A3E">
              <w:rPr>
                <w:rFonts w:ascii="宋体" w:hint="eastAsia"/>
                <w:sz w:val="24"/>
                <w:szCs w:val="24"/>
              </w:rPr>
              <w:t>”</w:t>
            </w:r>
            <w:r w:rsidRPr="008850AD">
              <w:rPr>
                <w:rFonts w:hint="eastAsia"/>
                <w:sz w:val="24"/>
                <w:szCs w:val="24"/>
              </w:rPr>
              <w:t>大学生课外学术科技作品竞赛三等奖。</w:t>
            </w:r>
            <w:r>
              <w:rPr>
                <w:rFonts w:hint="eastAsia"/>
                <w:sz w:val="24"/>
                <w:szCs w:val="24"/>
              </w:rPr>
              <w:t>另外，项目主持人董秀婷同学参与申请了</w:t>
            </w:r>
            <w:r w:rsidRPr="00A43A3E">
              <w:rPr>
                <w:rFonts w:hint="eastAsia"/>
                <w:sz w:val="24"/>
                <w:szCs w:val="24"/>
              </w:rPr>
              <w:t>专利</w:t>
            </w:r>
            <w:r w:rsidRPr="00A43A3E">
              <w:rPr>
                <w:sz w:val="24"/>
                <w:szCs w:val="24"/>
              </w:rPr>
              <w:t>1</w:t>
            </w:r>
            <w:r w:rsidRPr="00A43A3E">
              <w:rPr>
                <w:rFonts w:hint="eastAsia"/>
                <w:sz w:val="24"/>
                <w:szCs w:val="24"/>
              </w:rPr>
              <w:t>件（申请号：</w:t>
            </w:r>
            <w:r w:rsidRPr="00A43A3E">
              <w:rPr>
                <w:sz w:val="24"/>
                <w:szCs w:val="24"/>
              </w:rPr>
              <w:t>201611214990.1</w:t>
            </w:r>
            <w:r w:rsidRPr="00A43A3E">
              <w:rPr>
                <w:rFonts w:hint="eastAsia"/>
                <w:sz w:val="24"/>
                <w:szCs w:val="24"/>
              </w:rPr>
              <w:t>）、在《中国农业信息》</w:t>
            </w:r>
            <w:r w:rsidRPr="00A43A3E">
              <w:rPr>
                <w:sz w:val="24"/>
                <w:szCs w:val="24"/>
              </w:rPr>
              <w:t>2016</w:t>
            </w:r>
            <w:r w:rsidRPr="00A43A3E">
              <w:rPr>
                <w:rFonts w:hint="eastAsia"/>
                <w:sz w:val="24"/>
                <w:szCs w:val="24"/>
              </w:rPr>
              <w:t>年第</w:t>
            </w:r>
            <w:r w:rsidRPr="00A43A3E">
              <w:rPr>
                <w:sz w:val="24"/>
                <w:szCs w:val="24"/>
              </w:rPr>
              <w:t>20</w:t>
            </w:r>
            <w:r w:rsidRPr="00A43A3E">
              <w:rPr>
                <w:rFonts w:hint="eastAsia"/>
                <w:sz w:val="24"/>
                <w:szCs w:val="24"/>
              </w:rPr>
              <w:t>期发表了论文</w:t>
            </w:r>
            <w:r w:rsidRPr="00A43A3E">
              <w:rPr>
                <w:sz w:val="24"/>
                <w:szCs w:val="24"/>
              </w:rPr>
              <w:t>1</w:t>
            </w:r>
            <w:r w:rsidRPr="00A43A3E">
              <w:rPr>
                <w:rFonts w:hint="eastAsia"/>
                <w:sz w:val="24"/>
                <w:szCs w:val="24"/>
              </w:rPr>
              <w:t>篇</w:t>
            </w:r>
            <w:r>
              <w:rPr>
                <w:rFonts w:hint="eastAsia"/>
                <w:sz w:val="24"/>
                <w:szCs w:val="24"/>
              </w:rPr>
              <w:t>。</w:t>
            </w:r>
          </w:p>
          <w:p w:rsidR="007571ED" w:rsidRPr="00146B34" w:rsidRDefault="007571ED" w:rsidP="00146B34">
            <w:pPr>
              <w:snapToGrid w:val="0"/>
              <w:rPr>
                <w:rFonts w:ascii="宋体"/>
                <w:sz w:val="24"/>
                <w:szCs w:val="24"/>
              </w:rPr>
            </w:pPr>
          </w:p>
        </w:tc>
      </w:tr>
      <w:tr w:rsidR="007571ED" w:rsidRPr="001352FE">
        <w:trPr>
          <w:trHeight w:val="2652"/>
        </w:trPr>
        <w:tc>
          <w:tcPr>
            <w:tcW w:w="8663" w:type="dxa"/>
            <w:gridSpan w:val="7"/>
          </w:tcPr>
          <w:p w:rsidR="007571ED" w:rsidRPr="008850AD" w:rsidRDefault="007571ED" w:rsidP="00B441B4">
            <w:pPr>
              <w:snapToGrid w:val="0"/>
              <w:spacing w:line="360" w:lineRule="auto"/>
              <w:rPr>
                <w:sz w:val="24"/>
                <w:szCs w:val="24"/>
              </w:rPr>
            </w:pPr>
            <w:r w:rsidRPr="008850AD">
              <w:rPr>
                <w:rFonts w:hAnsi="宋体" w:hint="eastAsia"/>
                <w:sz w:val="24"/>
                <w:szCs w:val="24"/>
              </w:rPr>
              <w:t>指导教师承担科研课题情况</w:t>
            </w:r>
          </w:p>
          <w:p w:rsidR="007571ED" w:rsidRPr="008850AD" w:rsidRDefault="007571ED" w:rsidP="007571ED">
            <w:pPr>
              <w:snapToGrid w:val="0"/>
              <w:spacing w:line="360" w:lineRule="auto"/>
              <w:ind w:firstLineChars="200" w:firstLine="31680"/>
              <w:rPr>
                <w:sz w:val="24"/>
                <w:szCs w:val="24"/>
              </w:rPr>
            </w:pPr>
            <w:r w:rsidRPr="008850AD">
              <w:rPr>
                <w:rFonts w:hint="eastAsia"/>
                <w:sz w:val="24"/>
                <w:szCs w:val="24"/>
              </w:rPr>
              <w:t>在指导本科生开展研究性学习和创新性实验研究方面，曾独立指导完成了国家级大学生创新创业训练计划项目</w:t>
            </w:r>
            <w:r w:rsidRPr="008850AD">
              <w:rPr>
                <w:sz w:val="24"/>
                <w:szCs w:val="24"/>
              </w:rPr>
              <w:t>1</w:t>
            </w:r>
            <w:r w:rsidRPr="008850AD">
              <w:rPr>
                <w:rFonts w:hint="eastAsia"/>
                <w:sz w:val="24"/>
                <w:szCs w:val="24"/>
              </w:rPr>
              <w:t>项（</w:t>
            </w:r>
            <w:r w:rsidRPr="008850AD">
              <w:rPr>
                <w:sz w:val="24"/>
                <w:szCs w:val="24"/>
              </w:rPr>
              <w:t>2014</w:t>
            </w:r>
            <w:r w:rsidRPr="008850AD">
              <w:rPr>
                <w:rFonts w:hint="eastAsia"/>
                <w:sz w:val="24"/>
                <w:szCs w:val="24"/>
              </w:rPr>
              <w:t>年）、湖南省大学生研究性学习和创新性实验计划项目</w:t>
            </w:r>
            <w:r w:rsidRPr="008850AD">
              <w:rPr>
                <w:sz w:val="24"/>
                <w:szCs w:val="24"/>
              </w:rPr>
              <w:t>2</w:t>
            </w:r>
            <w:r w:rsidRPr="008850AD">
              <w:rPr>
                <w:rFonts w:hint="eastAsia"/>
                <w:sz w:val="24"/>
                <w:szCs w:val="24"/>
              </w:rPr>
              <w:t>项（</w:t>
            </w:r>
            <w:r w:rsidRPr="008850AD">
              <w:rPr>
                <w:sz w:val="24"/>
                <w:szCs w:val="24"/>
              </w:rPr>
              <w:t>2011</w:t>
            </w:r>
            <w:r w:rsidRPr="008850AD">
              <w:rPr>
                <w:rFonts w:hint="eastAsia"/>
                <w:sz w:val="24"/>
                <w:szCs w:val="24"/>
              </w:rPr>
              <w:t>年、</w:t>
            </w:r>
            <w:r w:rsidRPr="008850AD">
              <w:rPr>
                <w:sz w:val="24"/>
                <w:szCs w:val="24"/>
              </w:rPr>
              <w:t>2014</w:t>
            </w:r>
            <w:r w:rsidRPr="008850AD">
              <w:rPr>
                <w:rFonts w:hint="eastAsia"/>
                <w:sz w:val="24"/>
                <w:szCs w:val="24"/>
              </w:rPr>
              <w:t>年）、学校大学生科技创新基金项目</w:t>
            </w:r>
            <w:r w:rsidRPr="008850AD">
              <w:rPr>
                <w:sz w:val="24"/>
                <w:szCs w:val="24"/>
              </w:rPr>
              <w:t>2</w:t>
            </w:r>
            <w:r w:rsidRPr="008850AD">
              <w:rPr>
                <w:rFonts w:hint="eastAsia"/>
                <w:sz w:val="24"/>
                <w:szCs w:val="24"/>
              </w:rPr>
              <w:t>项（</w:t>
            </w:r>
            <w:r w:rsidRPr="008850AD">
              <w:rPr>
                <w:sz w:val="24"/>
                <w:szCs w:val="24"/>
              </w:rPr>
              <w:t>2011</w:t>
            </w:r>
            <w:r w:rsidRPr="008850AD">
              <w:rPr>
                <w:rFonts w:hint="eastAsia"/>
                <w:sz w:val="24"/>
                <w:szCs w:val="24"/>
              </w:rPr>
              <w:t>年、</w:t>
            </w:r>
            <w:r w:rsidRPr="008850AD">
              <w:rPr>
                <w:sz w:val="24"/>
                <w:szCs w:val="24"/>
              </w:rPr>
              <w:t>2016</w:t>
            </w:r>
            <w:r w:rsidRPr="008850AD">
              <w:rPr>
                <w:rFonts w:hint="eastAsia"/>
                <w:sz w:val="24"/>
                <w:szCs w:val="24"/>
              </w:rPr>
              <w:t>年）、校级大学生科技创新项目</w:t>
            </w:r>
            <w:r w:rsidRPr="008850AD">
              <w:rPr>
                <w:sz w:val="24"/>
                <w:szCs w:val="24"/>
              </w:rPr>
              <w:t>2</w:t>
            </w:r>
            <w:r w:rsidRPr="008850AD">
              <w:rPr>
                <w:rFonts w:hint="eastAsia"/>
                <w:sz w:val="24"/>
                <w:szCs w:val="24"/>
              </w:rPr>
              <w:t>项（</w:t>
            </w:r>
            <w:r w:rsidRPr="008850AD">
              <w:rPr>
                <w:sz w:val="24"/>
                <w:szCs w:val="24"/>
              </w:rPr>
              <w:t>2011</w:t>
            </w:r>
            <w:r w:rsidRPr="008850AD">
              <w:rPr>
                <w:rFonts w:hint="eastAsia"/>
                <w:sz w:val="24"/>
                <w:szCs w:val="24"/>
              </w:rPr>
              <w:t>年、</w:t>
            </w:r>
            <w:r w:rsidRPr="008850AD">
              <w:rPr>
                <w:sz w:val="24"/>
                <w:szCs w:val="24"/>
              </w:rPr>
              <w:t>2014</w:t>
            </w:r>
            <w:r w:rsidRPr="008850AD">
              <w:rPr>
                <w:rFonts w:hint="eastAsia"/>
                <w:sz w:val="24"/>
                <w:szCs w:val="24"/>
              </w:rPr>
              <w:t>年）、学校实验室开放基金项目</w:t>
            </w:r>
            <w:r w:rsidRPr="008850AD">
              <w:rPr>
                <w:sz w:val="24"/>
                <w:szCs w:val="24"/>
              </w:rPr>
              <w:t>1</w:t>
            </w:r>
            <w:r w:rsidRPr="008850AD">
              <w:rPr>
                <w:rFonts w:hint="eastAsia"/>
                <w:sz w:val="24"/>
                <w:szCs w:val="24"/>
              </w:rPr>
              <w:t>项（</w:t>
            </w:r>
            <w:r w:rsidRPr="008850AD">
              <w:rPr>
                <w:sz w:val="24"/>
                <w:szCs w:val="24"/>
              </w:rPr>
              <w:t>2012</w:t>
            </w:r>
            <w:r w:rsidRPr="008850AD">
              <w:rPr>
                <w:rFonts w:hint="eastAsia"/>
                <w:sz w:val="24"/>
                <w:szCs w:val="24"/>
              </w:rPr>
              <w:t>年），指导本科生以第一作者发表中文核心期刊论文</w:t>
            </w:r>
            <w:r w:rsidRPr="008850AD">
              <w:rPr>
                <w:sz w:val="24"/>
                <w:szCs w:val="24"/>
              </w:rPr>
              <w:t>2</w:t>
            </w:r>
            <w:r w:rsidRPr="008850AD">
              <w:rPr>
                <w:rFonts w:hint="eastAsia"/>
                <w:sz w:val="24"/>
                <w:szCs w:val="24"/>
              </w:rPr>
              <w:t>篇，获湖南省第二届大学生创新实验成果展</w:t>
            </w:r>
            <w:r w:rsidRPr="008850AD">
              <w:rPr>
                <w:rFonts w:ascii="宋体" w:hint="eastAsia"/>
                <w:sz w:val="24"/>
                <w:szCs w:val="24"/>
              </w:rPr>
              <w:t>“</w:t>
            </w:r>
            <w:r w:rsidRPr="008850AD">
              <w:rPr>
                <w:rFonts w:ascii="宋体" w:hAnsi="宋体" w:hint="eastAsia"/>
                <w:sz w:val="24"/>
                <w:szCs w:val="24"/>
              </w:rPr>
              <w:t>十佳论文奖</w:t>
            </w:r>
            <w:r w:rsidRPr="008850AD">
              <w:rPr>
                <w:rFonts w:ascii="宋体" w:hint="eastAsia"/>
                <w:sz w:val="24"/>
                <w:szCs w:val="24"/>
              </w:rPr>
              <w:t>”</w:t>
            </w:r>
            <w:r w:rsidRPr="008850AD">
              <w:rPr>
                <w:sz w:val="24"/>
                <w:szCs w:val="24"/>
              </w:rPr>
              <w:t>1</w:t>
            </w:r>
            <w:r w:rsidRPr="008850AD">
              <w:rPr>
                <w:rFonts w:hint="eastAsia"/>
                <w:sz w:val="24"/>
                <w:szCs w:val="24"/>
              </w:rPr>
              <w:t>项、优秀论文奖</w:t>
            </w:r>
            <w:r w:rsidRPr="008850AD">
              <w:rPr>
                <w:sz w:val="24"/>
                <w:szCs w:val="24"/>
              </w:rPr>
              <w:t>1</w:t>
            </w:r>
            <w:r w:rsidRPr="008850AD">
              <w:rPr>
                <w:rFonts w:hint="eastAsia"/>
                <w:sz w:val="24"/>
                <w:szCs w:val="24"/>
              </w:rPr>
              <w:t>项、优秀作品奖</w:t>
            </w:r>
            <w:r w:rsidRPr="008850AD">
              <w:rPr>
                <w:sz w:val="24"/>
                <w:szCs w:val="24"/>
              </w:rPr>
              <w:t>1</w:t>
            </w:r>
            <w:r w:rsidRPr="008850AD">
              <w:rPr>
                <w:rFonts w:hint="eastAsia"/>
                <w:sz w:val="24"/>
                <w:szCs w:val="24"/>
              </w:rPr>
              <w:t>项，获湖南省大学生课外化学化工创新作品竞赛一等奖</w:t>
            </w:r>
            <w:r w:rsidRPr="008850AD">
              <w:rPr>
                <w:sz w:val="24"/>
                <w:szCs w:val="24"/>
              </w:rPr>
              <w:t>2</w:t>
            </w:r>
            <w:r w:rsidRPr="008850AD">
              <w:rPr>
                <w:rFonts w:hint="eastAsia"/>
                <w:sz w:val="24"/>
                <w:szCs w:val="24"/>
              </w:rPr>
              <w:t>项、三等奖</w:t>
            </w:r>
            <w:r w:rsidRPr="008850AD">
              <w:rPr>
                <w:sz w:val="24"/>
                <w:szCs w:val="24"/>
              </w:rPr>
              <w:t>1</w:t>
            </w:r>
            <w:r w:rsidRPr="008850AD">
              <w:rPr>
                <w:rFonts w:hint="eastAsia"/>
                <w:sz w:val="24"/>
                <w:szCs w:val="24"/>
              </w:rPr>
              <w:t>项，学校</w:t>
            </w:r>
            <w:r w:rsidRPr="008850AD">
              <w:rPr>
                <w:sz w:val="24"/>
                <w:szCs w:val="24"/>
              </w:rPr>
              <w:t>“</w:t>
            </w:r>
            <w:r w:rsidRPr="008850AD">
              <w:rPr>
                <w:rFonts w:hint="eastAsia"/>
                <w:sz w:val="24"/>
                <w:szCs w:val="24"/>
              </w:rPr>
              <w:t>挑战杯</w:t>
            </w:r>
            <w:r w:rsidRPr="008850AD">
              <w:rPr>
                <w:sz w:val="24"/>
                <w:szCs w:val="24"/>
              </w:rPr>
              <w:t>”</w:t>
            </w:r>
            <w:r w:rsidRPr="008850AD">
              <w:rPr>
                <w:rFonts w:hint="eastAsia"/>
                <w:sz w:val="24"/>
                <w:szCs w:val="24"/>
              </w:rPr>
              <w:t>大学生课外学术科技作品竞赛三等奖</w:t>
            </w:r>
            <w:r w:rsidRPr="008850AD">
              <w:rPr>
                <w:sz w:val="24"/>
                <w:szCs w:val="24"/>
              </w:rPr>
              <w:t>1</w:t>
            </w:r>
            <w:r w:rsidRPr="008850AD">
              <w:rPr>
                <w:rFonts w:hint="eastAsia"/>
                <w:sz w:val="24"/>
                <w:szCs w:val="24"/>
              </w:rPr>
              <w:t>项。</w:t>
            </w:r>
          </w:p>
          <w:p w:rsidR="007571ED" w:rsidRDefault="007571ED" w:rsidP="007571ED">
            <w:pPr>
              <w:snapToGrid w:val="0"/>
              <w:spacing w:line="360" w:lineRule="auto"/>
              <w:ind w:firstLineChars="200" w:firstLine="31680"/>
              <w:rPr>
                <w:sz w:val="24"/>
                <w:szCs w:val="24"/>
              </w:rPr>
            </w:pPr>
            <w:r w:rsidRPr="008850AD">
              <w:rPr>
                <w:rFonts w:hint="eastAsia"/>
                <w:sz w:val="24"/>
                <w:szCs w:val="24"/>
              </w:rPr>
              <w:t>在科学研究方面，长期从事天然产物化学与利用方面的研究工作，近年来先后主持和第二主持湖南省重点研发计划项目、广东省自然科学基金、国家十一五和十二五科技支撑专项、国家林业公益性行业专项等各类课题</w:t>
            </w:r>
            <w:r w:rsidRPr="008850AD">
              <w:rPr>
                <w:sz w:val="24"/>
                <w:szCs w:val="24"/>
              </w:rPr>
              <w:t>6</w:t>
            </w:r>
            <w:r w:rsidRPr="008850AD">
              <w:rPr>
                <w:rFonts w:hint="eastAsia"/>
                <w:sz w:val="24"/>
                <w:szCs w:val="24"/>
              </w:rPr>
              <w:t>项，完成了迷迭香、喜树、山苍子、竹叶、八角等植物原料中有效物质提制及其利用研究，发表相关科研论文</w:t>
            </w:r>
            <w:r>
              <w:rPr>
                <w:sz w:val="24"/>
                <w:szCs w:val="24"/>
              </w:rPr>
              <w:t>3</w:t>
            </w:r>
            <w:r w:rsidRPr="008850AD">
              <w:rPr>
                <w:sz w:val="24"/>
                <w:szCs w:val="24"/>
              </w:rPr>
              <w:t>0</w:t>
            </w:r>
            <w:r w:rsidRPr="008850AD">
              <w:rPr>
                <w:rFonts w:hint="eastAsia"/>
                <w:sz w:val="24"/>
                <w:szCs w:val="24"/>
              </w:rPr>
              <w:t>余篇，其中</w:t>
            </w:r>
            <w:r w:rsidRPr="008850AD">
              <w:rPr>
                <w:sz w:val="24"/>
                <w:szCs w:val="24"/>
              </w:rPr>
              <w:t>SCI/EI</w:t>
            </w:r>
            <w:r w:rsidRPr="008850AD">
              <w:rPr>
                <w:rFonts w:hint="eastAsia"/>
                <w:sz w:val="24"/>
                <w:szCs w:val="24"/>
              </w:rPr>
              <w:t>收录</w:t>
            </w:r>
            <w:r w:rsidRPr="008850AD">
              <w:rPr>
                <w:sz w:val="24"/>
                <w:szCs w:val="24"/>
              </w:rPr>
              <w:t>3</w:t>
            </w:r>
            <w:r w:rsidRPr="008850AD">
              <w:rPr>
                <w:rFonts w:hint="eastAsia"/>
                <w:sz w:val="24"/>
                <w:szCs w:val="24"/>
              </w:rPr>
              <w:t>篇，转让技术</w:t>
            </w:r>
            <w:r w:rsidRPr="008850AD">
              <w:rPr>
                <w:sz w:val="24"/>
                <w:szCs w:val="24"/>
              </w:rPr>
              <w:t>2</w:t>
            </w:r>
            <w:r w:rsidRPr="008850AD">
              <w:rPr>
                <w:rFonts w:hint="eastAsia"/>
                <w:sz w:val="24"/>
                <w:szCs w:val="24"/>
              </w:rPr>
              <w:t>项。</w:t>
            </w:r>
          </w:p>
          <w:p w:rsidR="007571ED" w:rsidRPr="001352FE" w:rsidRDefault="007571ED" w:rsidP="007571ED">
            <w:pPr>
              <w:snapToGrid w:val="0"/>
              <w:spacing w:line="360" w:lineRule="auto"/>
              <w:ind w:firstLineChars="200" w:firstLine="31680"/>
              <w:rPr>
                <w:rFonts w:ascii="宋体"/>
                <w:sz w:val="24"/>
                <w:szCs w:val="24"/>
              </w:rPr>
            </w:pPr>
          </w:p>
        </w:tc>
      </w:tr>
      <w:tr w:rsidR="007571ED" w:rsidRPr="001352FE">
        <w:trPr>
          <w:trHeight w:val="4440"/>
        </w:trPr>
        <w:tc>
          <w:tcPr>
            <w:tcW w:w="8663" w:type="dxa"/>
            <w:gridSpan w:val="7"/>
          </w:tcPr>
          <w:p w:rsidR="007571ED" w:rsidRPr="001352FE" w:rsidRDefault="007571ED" w:rsidP="008E139B">
            <w:pPr>
              <w:snapToGrid w:val="0"/>
              <w:spacing w:line="360" w:lineRule="auto"/>
              <w:rPr>
                <w:rFonts w:ascii="宋体"/>
                <w:sz w:val="24"/>
                <w:szCs w:val="24"/>
              </w:rPr>
            </w:pPr>
            <w:r w:rsidRPr="001352FE">
              <w:rPr>
                <w:rFonts w:ascii="宋体" w:hAnsi="宋体" w:hint="eastAsia"/>
                <w:sz w:val="24"/>
                <w:szCs w:val="24"/>
              </w:rPr>
              <w:t>项目研究和实验的目的、内容和要解决的主要问题</w:t>
            </w:r>
          </w:p>
          <w:p w:rsidR="007571ED" w:rsidRPr="008850AD" w:rsidRDefault="007571ED" w:rsidP="007571ED">
            <w:pPr>
              <w:snapToGrid w:val="0"/>
              <w:spacing w:line="360" w:lineRule="auto"/>
              <w:ind w:firstLineChars="200" w:firstLine="31680"/>
              <w:rPr>
                <w:sz w:val="24"/>
                <w:szCs w:val="24"/>
              </w:rPr>
            </w:pPr>
            <w:r w:rsidRPr="008850AD">
              <w:rPr>
                <w:sz w:val="24"/>
                <w:szCs w:val="24"/>
              </w:rPr>
              <w:t xml:space="preserve">1. </w:t>
            </w:r>
            <w:r w:rsidRPr="008850AD">
              <w:rPr>
                <w:rFonts w:hAnsi="宋体" w:hint="eastAsia"/>
                <w:sz w:val="24"/>
                <w:szCs w:val="24"/>
              </w:rPr>
              <w:t>项目研究和实验的目的</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研究油用牡丹籽油的化学组成及其提取、分离方法和优化工艺，制备高纯度</w:t>
            </w:r>
            <w:r w:rsidRPr="008850AD">
              <w:rPr>
                <w:sz w:val="24"/>
                <w:szCs w:val="24"/>
              </w:rPr>
              <w:t>α-</w:t>
            </w:r>
            <w:r w:rsidRPr="008850AD">
              <w:rPr>
                <w:rFonts w:hAnsi="宋体" w:hint="eastAsia"/>
                <w:sz w:val="24"/>
                <w:szCs w:val="24"/>
              </w:rPr>
              <w:t>亚麻酸、亚油酸和油酸，为油用牡丹籽油的精细化深加工利用提供技术支持。对比研究不同生境条件下同品种油用牡丹、相同生境条件下不同品种油用牡丹的化学组成，为油用牡丹繁育、栽培提供依据和参考。</w:t>
            </w:r>
          </w:p>
          <w:p w:rsidR="007571ED" w:rsidRPr="008850AD" w:rsidRDefault="007571ED" w:rsidP="007571ED">
            <w:pPr>
              <w:snapToGrid w:val="0"/>
              <w:spacing w:line="360" w:lineRule="auto"/>
              <w:ind w:firstLineChars="200" w:firstLine="31680"/>
              <w:rPr>
                <w:sz w:val="24"/>
                <w:szCs w:val="24"/>
              </w:rPr>
            </w:pPr>
            <w:r w:rsidRPr="008850AD">
              <w:rPr>
                <w:sz w:val="24"/>
                <w:szCs w:val="24"/>
              </w:rPr>
              <w:t xml:space="preserve">2. </w:t>
            </w:r>
            <w:r w:rsidRPr="008850AD">
              <w:rPr>
                <w:rFonts w:hAnsi="宋体" w:hint="eastAsia"/>
                <w:sz w:val="24"/>
                <w:szCs w:val="24"/>
              </w:rPr>
              <w:t>项目研究内容</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w:t>
            </w:r>
            <w:r w:rsidRPr="008850AD">
              <w:rPr>
                <w:sz w:val="24"/>
                <w:szCs w:val="24"/>
              </w:rPr>
              <w:t>1</w:t>
            </w:r>
            <w:r w:rsidRPr="008850AD">
              <w:rPr>
                <w:rFonts w:hAnsi="宋体" w:hint="eastAsia"/>
                <w:sz w:val="24"/>
                <w:szCs w:val="24"/>
              </w:rPr>
              <w:t>）牡丹籽油提取方法及其优化工艺研究。</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以牡丹籽油得率为考察指标，利用有机溶剂、超临界</w:t>
            </w:r>
            <w:r w:rsidRPr="008850AD">
              <w:rPr>
                <w:sz w:val="24"/>
                <w:szCs w:val="24"/>
              </w:rPr>
              <w:t>CO</w:t>
            </w:r>
            <w:r w:rsidRPr="00DC5DCC">
              <w:rPr>
                <w:sz w:val="24"/>
                <w:szCs w:val="24"/>
                <w:vertAlign w:val="subscript"/>
              </w:rPr>
              <w:t>2</w:t>
            </w:r>
            <w:r w:rsidRPr="008850AD">
              <w:rPr>
                <w:rFonts w:hAnsi="宋体" w:hint="eastAsia"/>
                <w:sz w:val="24"/>
                <w:szCs w:val="24"/>
              </w:rPr>
              <w:t>萃取</w:t>
            </w:r>
            <w:r>
              <w:rPr>
                <w:rFonts w:hAnsi="宋体" w:hint="eastAsia"/>
                <w:sz w:val="24"/>
                <w:szCs w:val="24"/>
              </w:rPr>
              <w:t>等方法</w:t>
            </w:r>
            <w:r w:rsidRPr="008850AD">
              <w:rPr>
                <w:rFonts w:hAnsi="宋体" w:hint="eastAsia"/>
                <w:sz w:val="24"/>
                <w:szCs w:val="24"/>
              </w:rPr>
              <w:t>提取凤丹、紫斑两个品种油用牡丹籽油，在优选出提取方法的基础上，采用响应曲面法或正交试验法优化其提取工艺。</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w:t>
            </w:r>
            <w:r w:rsidRPr="008850AD">
              <w:rPr>
                <w:sz w:val="24"/>
                <w:szCs w:val="24"/>
              </w:rPr>
              <w:t>2</w:t>
            </w:r>
            <w:r w:rsidRPr="008850AD">
              <w:rPr>
                <w:rFonts w:hAnsi="宋体" w:hint="eastAsia"/>
                <w:sz w:val="24"/>
                <w:szCs w:val="24"/>
              </w:rPr>
              <w:t>）牡丹籽油的化学组成研究。</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采用酯化</w:t>
            </w:r>
            <w:r w:rsidRPr="008850AD">
              <w:rPr>
                <w:sz w:val="24"/>
                <w:szCs w:val="24"/>
              </w:rPr>
              <w:t>-</w:t>
            </w:r>
            <w:r w:rsidRPr="008850AD">
              <w:rPr>
                <w:rFonts w:hAnsi="宋体" w:hint="eastAsia"/>
                <w:sz w:val="24"/>
                <w:szCs w:val="24"/>
              </w:rPr>
              <w:t>气相色谱</w:t>
            </w:r>
            <w:r w:rsidRPr="008850AD">
              <w:rPr>
                <w:sz w:val="24"/>
                <w:szCs w:val="24"/>
              </w:rPr>
              <w:t>/</w:t>
            </w:r>
            <w:r w:rsidRPr="008850AD">
              <w:rPr>
                <w:rFonts w:hAnsi="宋体" w:hint="eastAsia"/>
                <w:sz w:val="24"/>
                <w:szCs w:val="24"/>
              </w:rPr>
              <w:t>质谱联用技术，鉴定凤丹牡丹籽油、紫斑牡丹籽油的主要化学成分，并确定其成分含量。利用建立的酯化</w:t>
            </w:r>
            <w:r w:rsidRPr="008850AD">
              <w:rPr>
                <w:sz w:val="24"/>
                <w:szCs w:val="24"/>
              </w:rPr>
              <w:t>-</w:t>
            </w:r>
            <w:r w:rsidRPr="008850AD">
              <w:rPr>
                <w:rFonts w:hAnsi="宋体" w:hint="eastAsia"/>
                <w:sz w:val="24"/>
                <w:szCs w:val="24"/>
              </w:rPr>
              <w:t>气相色谱</w:t>
            </w:r>
            <w:r w:rsidRPr="008850AD">
              <w:rPr>
                <w:sz w:val="24"/>
                <w:szCs w:val="24"/>
              </w:rPr>
              <w:t>/</w:t>
            </w:r>
            <w:r w:rsidRPr="008850AD">
              <w:rPr>
                <w:rFonts w:hAnsi="宋体" w:hint="eastAsia"/>
                <w:sz w:val="24"/>
                <w:szCs w:val="24"/>
              </w:rPr>
              <w:t>质谱联用检测方法，考察不同生境条件下凤丹牡丹籽油，相同生境条件下凤丹、紫斑牡丹籽油的化学组成。</w:t>
            </w:r>
            <w:r>
              <w:rPr>
                <w:rFonts w:hAnsi="宋体" w:hint="eastAsia"/>
                <w:sz w:val="24"/>
                <w:szCs w:val="24"/>
              </w:rPr>
              <w:t>利用化学分析方法，测定牡丹籽油的理化性质指标。</w:t>
            </w:r>
          </w:p>
          <w:p w:rsidR="007571ED" w:rsidRPr="008850AD" w:rsidRDefault="007571ED" w:rsidP="007571ED">
            <w:pPr>
              <w:snapToGrid w:val="0"/>
              <w:spacing w:line="360" w:lineRule="auto"/>
              <w:ind w:firstLineChars="200" w:firstLine="31680"/>
              <w:rPr>
                <w:sz w:val="24"/>
                <w:szCs w:val="24"/>
              </w:rPr>
            </w:pPr>
            <w:r w:rsidRPr="008850AD">
              <w:rPr>
                <w:rFonts w:hAnsi="宋体" w:hint="eastAsia"/>
                <w:sz w:val="24"/>
                <w:szCs w:val="24"/>
              </w:rPr>
              <w:t>（</w:t>
            </w:r>
            <w:r w:rsidRPr="008850AD">
              <w:rPr>
                <w:sz w:val="24"/>
                <w:szCs w:val="24"/>
              </w:rPr>
              <w:t>3</w:t>
            </w:r>
            <w:r w:rsidRPr="008850AD">
              <w:rPr>
                <w:rFonts w:hAnsi="宋体" w:hint="eastAsia"/>
                <w:sz w:val="24"/>
                <w:szCs w:val="24"/>
              </w:rPr>
              <w:t>）牡丹籽油</w:t>
            </w:r>
            <w:r>
              <w:rPr>
                <w:rFonts w:hAnsi="宋体" w:hint="eastAsia"/>
                <w:sz w:val="24"/>
                <w:szCs w:val="24"/>
              </w:rPr>
              <w:t>综合</w:t>
            </w:r>
            <w:r w:rsidRPr="008850AD">
              <w:rPr>
                <w:rFonts w:hAnsi="宋体" w:hint="eastAsia"/>
                <w:sz w:val="24"/>
                <w:szCs w:val="24"/>
              </w:rPr>
              <w:t>分离方法及其优化工艺研究。</w:t>
            </w:r>
          </w:p>
          <w:p w:rsidR="007571ED" w:rsidRPr="008850AD" w:rsidRDefault="007571ED" w:rsidP="007571ED">
            <w:pPr>
              <w:snapToGrid w:val="0"/>
              <w:spacing w:line="360" w:lineRule="auto"/>
              <w:ind w:firstLineChars="200" w:firstLine="31680"/>
              <w:rPr>
                <w:sz w:val="24"/>
                <w:szCs w:val="24"/>
              </w:rPr>
            </w:pPr>
            <w:r>
              <w:rPr>
                <w:rFonts w:hAnsi="宋体" w:hint="eastAsia"/>
                <w:sz w:val="24"/>
                <w:szCs w:val="24"/>
              </w:rPr>
              <w:t>以纯度和收率为考察指标，采用精馏、分子蒸馏、结晶等分离、纯化方法，</w:t>
            </w:r>
            <w:r w:rsidRPr="008850AD">
              <w:rPr>
                <w:rFonts w:hAnsi="宋体" w:hint="eastAsia"/>
                <w:sz w:val="24"/>
                <w:szCs w:val="24"/>
              </w:rPr>
              <w:t>分离</w:t>
            </w:r>
            <w:r>
              <w:rPr>
                <w:rFonts w:hAnsi="宋体" w:hint="eastAsia"/>
                <w:sz w:val="24"/>
                <w:szCs w:val="24"/>
              </w:rPr>
              <w:t>牡丹籽油中的</w:t>
            </w:r>
            <w:r w:rsidRPr="008850AD">
              <w:rPr>
                <w:rFonts w:hAnsi="宋体" w:hint="eastAsia"/>
                <w:sz w:val="24"/>
                <w:szCs w:val="24"/>
              </w:rPr>
              <w:t>单不饱和脂肪酸和多不饱和脂肪酸，</w:t>
            </w:r>
            <w:r>
              <w:rPr>
                <w:rFonts w:hAnsi="宋体" w:hint="eastAsia"/>
                <w:sz w:val="24"/>
                <w:szCs w:val="24"/>
              </w:rPr>
              <w:t>分离</w:t>
            </w:r>
            <w:r w:rsidRPr="008850AD">
              <w:rPr>
                <w:rFonts w:hAnsi="宋体" w:hint="eastAsia"/>
                <w:sz w:val="24"/>
                <w:szCs w:val="24"/>
              </w:rPr>
              <w:t>多不饱和脂肪酸制备高纯度</w:t>
            </w:r>
            <w:r w:rsidRPr="008850AD">
              <w:rPr>
                <w:sz w:val="24"/>
                <w:szCs w:val="24"/>
              </w:rPr>
              <w:t>α-</w:t>
            </w:r>
            <w:r w:rsidRPr="008850AD">
              <w:rPr>
                <w:rFonts w:hAnsi="宋体" w:hint="eastAsia"/>
                <w:sz w:val="24"/>
                <w:szCs w:val="24"/>
              </w:rPr>
              <w:t>亚麻酸</w:t>
            </w:r>
            <w:r>
              <w:rPr>
                <w:rFonts w:hAnsi="宋体" w:hint="eastAsia"/>
                <w:sz w:val="24"/>
                <w:szCs w:val="24"/>
              </w:rPr>
              <w:t>和</w:t>
            </w:r>
            <w:r w:rsidRPr="008850AD">
              <w:rPr>
                <w:rFonts w:hAnsi="宋体" w:hint="eastAsia"/>
                <w:sz w:val="24"/>
                <w:szCs w:val="24"/>
              </w:rPr>
              <w:t>亚油酸，</w:t>
            </w:r>
            <w:r>
              <w:rPr>
                <w:rFonts w:hAnsi="宋体" w:hint="eastAsia"/>
                <w:sz w:val="24"/>
                <w:szCs w:val="24"/>
              </w:rPr>
              <w:t>分离</w:t>
            </w:r>
            <w:r w:rsidRPr="008850AD">
              <w:rPr>
                <w:rFonts w:hAnsi="宋体" w:hint="eastAsia"/>
                <w:sz w:val="24"/>
                <w:szCs w:val="24"/>
              </w:rPr>
              <w:t>单不饱和脂肪酸制备高纯度油酸。</w:t>
            </w:r>
          </w:p>
          <w:p w:rsidR="007571ED" w:rsidRPr="008850AD" w:rsidRDefault="007571ED" w:rsidP="007571ED">
            <w:pPr>
              <w:snapToGrid w:val="0"/>
              <w:spacing w:line="360" w:lineRule="auto"/>
              <w:ind w:firstLineChars="200" w:firstLine="31680"/>
              <w:rPr>
                <w:sz w:val="24"/>
                <w:szCs w:val="24"/>
              </w:rPr>
            </w:pPr>
            <w:r w:rsidRPr="008850AD">
              <w:rPr>
                <w:sz w:val="24"/>
                <w:szCs w:val="24"/>
              </w:rPr>
              <w:t xml:space="preserve">3. </w:t>
            </w:r>
            <w:r w:rsidRPr="008850AD">
              <w:rPr>
                <w:rFonts w:hAnsi="宋体" w:hint="eastAsia"/>
                <w:sz w:val="24"/>
                <w:szCs w:val="24"/>
              </w:rPr>
              <w:t>项目研究拟解决的主要问题</w:t>
            </w:r>
          </w:p>
          <w:p w:rsidR="007571ED" w:rsidRDefault="007571ED" w:rsidP="007571ED">
            <w:pPr>
              <w:snapToGrid w:val="0"/>
              <w:spacing w:line="360" w:lineRule="auto"/>
              <w:ind w:firstLineChars="200" w:firstLine="31680"/>
              <w:rPr>
                <w:rFonts w:hAnsi="宋体"/>
                <w:sz w:val="24"/>
                <w:szCs w:val="24"/>
              </w:rPr>
            </w:pPr>
            <w:r w:rsidRPr="008850AD">
              <w:rPr>
                <w:rFonts w:hAnsi="宋体" w:hint="eastAsia"/>
                <w:sz w:val="24"/>
                <w:szCs w:val="24"/>
              </w:rPr>
              <w:t>针对目前牡丹籽加工利用中深加工技术不足，特别是将其功能性成分开发成独立产品的精细化深加工技术缺乏的现状，研究油用牡丹籽油的化学组成及其提取、分离方法和工艺，制备高纯度</w:t>
            </w:r>
            <w:r w:rsidRPr="008850AD">
              <w:rPr>
                <w:sz w:val="24"/>
                <w:szCs w:val="24"/>
              </w:rPr>
              <w:t>α-</w:t>
            </w:r>
            <w:r w:rsidRPr="008850AD">
              <w:rPr>
                <w:rFonts w:hAnsi="宋体" w:hint="eastAsia"/>
                <w:sz w:val="24"/>
                <w:szCs w:val="24"/>
              </w:rPr>
              <w:t>亚麻酸、亚油酸和油酸，拓展牡丹籽油在医药、食品、保健品等领域的应用途径。</w:t>
            </w:r>
          </w:p>
          <w:p w:rsidR="007571ED" w:rsidRPr="008E139B" w:rsidRDefault="007571ED" w:rsidP="007571ED">
            <w:pPr>
              <w:snapToGrid w:val="0"/>
              <w:spacing w:line="360" w:lineRule="auto"/>
              <w:ind w:firstLineChars="200" w:firstLine="31680"/>
              <w:rPr>
                <w:rFonts w:ascii="宋体"/>
                <w:sz w:val="24"/>
                <w:szCs w:val="24"/>
              </w:rPr>
            </w:pPr>
          </w:p>
        </w:tc>
      </w:tr>
      <w:tr w:rsidR="007571ED" w:rsidRPr="001352FE">
        <w:trPr>
          <w:trHeight w:val="2326"/>
        </w:trPr>
        <w:tc>
          <w:tcPr>
            <w:tcW w:w="8663" w:type="dxa"/>
            <w:gridSpan w:val="7"/>
          </w:tcPr>
          <w:p w:rsidR="007571ED" w:rsidRPr="009F70BF" w:rsidRDefault="007571ED" w:rsidP="008E139B">
            <w:pPr>
              <w:snapToGrid w:val="0"/>
              <w:spacing w:line="360" w:lineRule="auto"/>
              <w:rPr>
                <w:sz w:val="24"/>
                <w:szCs w:val="24"/>
              </w:rPr>
            </w:pPr>
            <w:r w:rsidRPr="009F70BF">
              <w:rPr>
                <w:rFonts w:hAnsi="宋体" w:hint="eastAsia"/>
                <w:sz w:val="24"/>
                <w:szCs w:val="24"/>
              </w:rPr>
              <w:t>国内外研究现状和发展动态</w:t>
            </w:r>
          </w:p>
          <w:p w:rsidR="007571ED" w:rsidRPr="009F70BF" w:rsidRDefault="007571ED" w:rsidP="007571ED">
            <w:pPr>
              <w:snapToGrid w:val="0"/>
              <w:spacing w:line="360" w:lineRule="auto"/>
              <w:ind w:firstLineChars="200" w:firstLine="31680"/>
              <w:rPr>
                <w:sz w:val="24"/>
                <w:szCs w:val="24"/>
              </w:rPr>
            </w:pPr>
            <w:r w:rsidRPr="009F70BF">
              <w:rPr>
                <w:rFonts w:hAnsi="宋体" w:hint="eastAsia"/>
                <w:sz w:val="24"/>
                <w:szCs w:val="24"/>
              </w:rPr>
              <w:t>牡丹是一种多年生小灌木，源产于中国，已有约</w:t>
            </w:r>
            <w:r w:rsidRPr="009F70BF">
              <w:rPr>
                <w:sz w:val="24"/>
                <w:szCs w:val="24"/>
              </w:rPr>
              <w:t>2000</w:t>
            </w:r>
            <w:r w:rsidRPr="009F70BF">
              <w:rPr>
                <w:rFonts w:hAnsi="宋体" w:hint="eastAsia"/>
                <w:sz w:val="24"/>
                <w:szCs w:val="24"/>
              </w:rPr>
              <w:t>年的种植历史。牡丹的传统用途为观赏和药用，</w:t>
            </w:r>
            <w:r w:rsidRPr="009F70BF">
              <w:rPr>
                <w:sz w:val="24"/>
                <w:szCs w:val="24"/>
              </w:rPr>
              <w:t>2004</w:t>
            </w:r>
            <w:r w:rsidRPr="009F70BF">
              <w:rPr>
                <w:rFonts w:hAnsi="宋体" w:hint="eastAsia"/>
                <w:sz w:val="24"/>
                <w:szCs w:val="24"/>
              </w:rPr>
              <w:t>年中国科学院首次报道药用凤丹牡丹籽含油量大且富含不饱和脂肪酸以后，牡丹的食用价值引起业界关注。</w:t>
            </w:r>
            <w:r w:rsidRPr="009F70BF">
              <w:rPr>
                <w:sz w:val="24"/>
                <w:szCs w:val="24"/>
              </w:rPr>
              <w:t>2010</w:t>
            </w:r>
            <w:r w:rsidRPr="009F70BF">
              <w:rPr>
                <w:rFonts w:hAnsi="宋体" w:hint="eastAsia"/>
                <w:sz w:val="24"/>
                <w:szCs w:val="24"/>
              </w:rPr>
              <w:t>年菏泽瑞璞建立国内第一条牡丹籽油生产线，</w:t>
            </w:r>
            <w:r w:rsidRPr="009F70BF">
              <w:rPr>
                <w:sz w:val="24"/>
                <w:szCs w:val="24"/>
              </w:rPr>
              <w:t>2011</w:t>
            </w:r>
            <w:r w:rsidRPr="009F70BF">
              <w:rPr>
                <w:rFonts w:hAnsi="宋体" w:hint="eastAsia"/>
                <w:sz w:val="24"/>
                <w:szCs w:val="24"/>
              </w:rPr>
              <w:t>年牡丹籽油被卫生部批准为新资源食品，</w:t>
            </w:r>
            <w:r w:rsidRPr="009F70BF">
              <w:rPr>
                <w:sz w:val="24"/>
                <w:szCs w:val="24"/>
              </w:rPr>
              <w:t>2015</w:t>
            </w:r>
            <w:r w:rsidRPr="009F70BF">
              <w:rPr>
                <w:rFonts w:hAnsi="宋体" w:hint="eastAsia"/>
                <w:sz w:val="24"/>
                <w:szCs w:val="24"/>
              </w:rPr>
              <w:t>年国务院《关于加快木本油料产业发展的意见》将油用牡丹列为中国三大木本油料作物之一，推动了油用牡丹种植业的快速发展，全国凤丹、紫斑两大品种油用牡丹种植面积已突破</w:t>
            </w:r>
            <w:r w:rsidRPr="009F70BF">
              <w:rPr>
                <w:sz w:val="24"/>
                <w:szCs w:val="24"/>
              </w:rPr>
              <w:t>100</w:t>
            </w:r>
            <w:r w:rsidRPr="009F70BF">
              <w:rPr>
                <w:rFonts w:hAnsi="宋体" w:hint="eastAsia"/>
                <w:sz w:val="24"/>
                <w:szCs w:val="24"/>
              </w:rPr>
              <w:t>万亩，种植区域覆盖全国</w:t>
            </w:r>
            <w:r w:rsidRPr="009F70BF">
              <w:rPr>
                <w:sz w:val="24"/>
                <w:szCs w:val="24"/>
              </w:rPr>
              <w:t>22</w:t>
            </w:r>
            <w:r w:rsidRPr="009F70BF">
              <w:rPr>
                <w:rFonts w:hAnsi="宋体" w:hint="eastAsia"/>
                <w:sz w:val="24"/>
                <w:szCs w:val="24"/>
              </w:rPr>
              <w:t>个省、</w:t>
            </w:r>
            <w:r w:rsidRPr="009F70BF">
              <w:rPr>
                <w:sz w:val="24"/>
                <w:szCs w:val="24"/>
              </w:rPr>
              <w:t>200</w:t>
            </w:r>
            <w:r w:rsidRPr="009F70BF">
              <w:rPr>
                <w:rFonts w:hAnsi="宋体" w:hint="eastAsia"/>
                <w:sz w:val="24"/>
                <w:szCs w:val="24"/>
              </w:rPr>
              <w:t>多个县，并呈逐年增加和扩大的趋势。</w:t>
            </w:r>
          </w:p>
          <w:p w:rsidR="007571ED" w:rsidRPr="009F70BF" w:rsidRDefault="007571ED" w:rsidP="007571ED">
            <w:pPr>
              <w:snapToGrid w:val="0"/>
              <w:spacing w:line="360" w:lineRule="auto"/>
              <w:ind w:firstLineChars="200" w:firstLine="31680"/>
              <w:rPr>
                <w:sz w:val="24"/>
                <w:szCs w:val="24"/>
              </w:rPr>
            </w:pPr>
            <w:r w:rsidRPr="009F70BF">
              <w:rPr>
                <w:rFonts w:hAnsi="宋体" w:hint="eastAsia"/>
                <w:sz w:val="24"/>
                <w:szCs w:val="24"/>
              </w:rPr>
              <w:t>随着油用牡丹资源量的迅猛增长，关于油用牡丹栽培种植技术及综合利用的研究随之展开，利用牡丹花蕊、花粉、叶、芽、果荚、籽仁、籽壳、根皮等研制的牡丹鲜花含片、牡丹花粉口服液、牡丹鲜花露、牡丹茶、牡丹咖啡、牡丹蛋白露、牡丹酱油、牡丹醋、牡丹保健酒等系列功能产品应运而生。</w:t>
            </w:r>
          </w:p>
          <w:p w:rsidR="007571ED" w:rsidRDefault="007571ED" w:rsidP="007571ED">
            <w:pPr>
              <w:snapToGrid w:val="0"/>
              <w:spacing w:line="360" w:lineRule="auto"/>
              <w:ind w:firstLineChars="200" w:firstLine="31680"/>
              <w:rPr>
                <w:rFonts w:hAnsi="宋体"/>
                <w:sz w:val="24"/>
                <w:szCs w:val="24"/>
              </w:rPr>
            </w:pPr>
            <w:r w:rsidRPr="009F70BF">
              <w:rPr>
                <w:rFonts w:hAnsi="宋体" w:hint="eastAsia"/>
                <w:sz w:val="24"/>
                <w:szCs w:val="24"/>
              </w:rPr>
              <w:t>在油用牡丹的众多可利用部位中，牡丹籽的产量最大，一般亩产可达</w:t>
            </w:r>
            <w:r w:rsidRPr="009F70BF">
              <w:rPr>
                <w:sz w:val="24"/>
                <w:szCs w:val="24"/>
              </w:rPr>
              <w:t>400~500</w:t>
            </w:r>
            <w:r w:rsidRPr="009F70BF">
              <w:rPr>
                <w:rFonts w:hAnsi="宋体" w:hint="eastAsia"/>
                <w:sz w:val="24"/>
                <w:szCs w:val="24"/>
              </w:rPr>
              <w:t>公斤，高于大豆产量两倍有余，是被寄予厚望的新生油料资源，目前在工业上一般采用机械压榨法用以生产牡丹籽油。近几年，牡丹籽油中不饱和脂肪酸含量高达</w:t>
            </w:r>
            <w:r w:rsidRPr="009F70BF">
              <w:rPr>
                <w:sz w:val="24"/>
                <w:szCs w:val="24"/>
              </w:rPr>
              <w:t>90%</w:t>
            </w:r>
            <w:r w:rsidRPr="009F70BF">
              <w:rPr>
                <w:rFonts w:hAnsi="宋体" w:hint="eastAsia"/>
                <w:sz w:val="24"/>
                <w:szCs w:val="24"/>
              </w:rPr>
              <w:t>，其中人体必需的</w:t>
            </w:r>
            <w:r w:rsidRPr="009F70BF">
              <w:rPr>
                <w:sz w:val="24"/>
                <w:szCs w:val="24"/>
              </w:rPr>
              <w:t>α-</w:t>
            </w:r>
            <w:r w:rsidRPr="009F70BF">
              <w:rPr>
                <w:rFonts w:hAnsi="宋体" w:hint="eastAsia"/>
                <w:sz w:val="24"/>
                <w:szCs w:val="24"/>
              </w:rPr>
              <w:t>亚麻酸占</w:t>
            </w:r>
            <w:r w:rsidRPr="009F70BF">
              <w:rPr>
                <w:sz w:val="24"/>
                <w:szCs w:val="24"/>
              </w:rPr>
              <w:t>42%</w:t>
            </w:r>
            <w:r w:rsidRPr="009F70BF">
              <w:rPr>
                <w:rFonts w:hAnsi="宋体" w:hint="eastAsia"/>
                <w:sz w:val="24"/>
                <w:szCs w:val="24"/>
              </w:rPr>
              <w:t>，且多项指标超过被称为</w:t>
            </w:r>
            <w:r w:rsidRPr="009F70BF">
              <w:rPr>
                <w:rFonts w:ascii="宋体" w:hint="eastAsia"/>
                <w:sz w:val="24"/>
                <w:szCs w:val="24"/>
              </w:rPr>
              <w:t>“</w:t>
            </w:r>
            <w:r w:rsidRPr="009F70BF">
              <w:rPr>
                <w:rFonts w:ascii="宋体" w:hAnsi="宋体" w:hint="eastAsia"/>
                <w:sz w:val="24"/>
                <w:szCs w:val="24"/>
              </w:rPr>
              <w:t>液体黄金</w:t>
            </w:r>
            <w:r w:rsidRPr="009F70BF">
              <w:rPr>
                <w:rFonts w:ascii="宋体" w:hint="eastAsia"/>
                <w:sz w:val="24"/>
                <w:szCs w:val="24"/>
              </w:rPr>
              <w:t>”</w:t>
            </w:r>
            <w:r w:rsidRPr="009F70BF">
              <w:rPr>
                <w:rFonts w:hAnsi="宋体" w:hint="eastAsia"/>
                <w:sz w:val="24"/>
                <w:szCs w:val="24"/>
              </w:rPr>
              <w:t>的橄榄油等事实已经得到研究证实且被业界公认，但受制于传统饮食习惯以及普通消费者对其营养价值的认知程度，牡丹籽油却陷入</w:t>
            </w:r>
            <w:r w:rsidRPr="009F70BF">
              <w:rPr>
                <w:rFonts w:ascii="宋体" w:hAnsi="宋体" w:hint="eastAsia"/>
                <w:sz w:val="24"/>
                <w:szCs w:val="24"/>
              </w:rPr>
              <w:t>了</w:t>
            </w:r>
            <w:r w:rsidRPr="009F70BF">
              <w:rPr>
                <w:rFonts w:ascii="宋体" w:hint="eastAsia"/>
                <w:sz w:val="24"/>
                <w:szCs w:val="24"/>
              </w:rPr>
              <w:t>“</w:t>
            </w:r>
            <w:r w:rsidRPr="009F70BF">
              <w:rPr>
                <w:rFonts w:ascii="宋体" w:hAnsi="宋体" w:hint="eastAsia"/>
                <w:sz w:val="24"/>
                <w:szCs w:val="24"/>
              </w:rPr>
              <w:t>有价无市</w:t>
            </w:r>
            <w:r w:rsidRPr="009F70BF">
              <w:rPr>
                <w:rFonts w:ascii="宋体" w:hint="eastAsia"/>
                <w:sz w:val="24"/>
                <w:szCs w:val="24"/>
              </w:rPr>
              <w:t>”</w:t>
            </w:r>
            <w:r w:rsidRPr="009F70BF">
              <w:rPr>
                <w:rFonts w:hAnsi="宋体" w:hint="eastAsia"/>
                <w:sz w:val="24"/>
                <w:szCs w:val="24"/>
              </w:rPr>
              <w:t>的尴尬境地，致使丰富的油用牡丹籽资源无法产生预期效益。通过宣传促进消费者对牡丹籽油的营养价值、保健及防病治病功效的认知和接受，使其早日步入家居食用油行列，是摆脱困局的可行之举。同时，开发牡丹籽油深加工技术，特别是精细化深加工技术，将其功能性成分开发成独立产品，</w:t>
            </w:r>
            <w:r>
              <w:rPr>
                <w:rFonts w:hAnsi="宋体" w:hint="eastAsia"/>
                <w:sz w:val="24"/>
                <w:szCs w:val="24"/>
              </w:rPr>
              <w:t>拓展</w:t>
            </w:r>
            <w:r w:rsidRPr="009F70BF">
              <w:rPr>
                <w:rFonts w:hAnsi="宋体" w:hint="eastAsia"/>
                <w:sz w:val="24"/>
                <w:szCs w:val="24"/>
              </w:rPr>
              <w:t>其在医药、食品、保健品等领域的应用途径，更显现实和必要。</w:t>
            </w:r>
          </w:p>
          <w:p w:rsidR="007571ED" w:rsidRPr="001352FE" w:rsidRDefault="007571ED" w:rsidP="007571ED">
            <w:pPr>
              <w:snapToGrid w:val="0"/>
              <w:spacing w:line="360" w:lineRule="auto"/>
              <w:ind w:firstLineChars="200" w:firstLine="31680"/>
              <w:rPr>
                <w:rFonts w:ascii="宋体"/>
                <w:sz w:val="24"/>
                <w:szCs w:val="24"/>
              </w:rPr>
            </w:pPr>
          </w:p>
        </w:tc>
      </w:tr>
      <w:tr w:rsidR="007571ED" w:rsidRPr="001352FE">
        <w:trPr>
          <w:trHeight w:val="4440"/>
        </w:trPr>
        <w:tc>
          <w:tcPr>
            <w:tcW w:w="8663" w:type="dxa"/>
            <w:gridSpan w:val="7"/>
          </w:tcPr>
          <w:p w:rsidR="007571ED" w:rsidRDefault="007571ED" w:rsidP="009F70BF">
            <w:pPr>
              <w:snapToGrid w:val="0"/>
              <w:spacing w:line="360" w:lineRule="auto"/>
              <w:rPr>
                <w:rFonts w:ascii="宋体"/>
                <w:sz w:val="24"/>
                <w:szCs w:val="24"/>
              </w:rPr>
            </w:pPr>
            <w:r w:rsidRPr="001352FE">
              <w:rPr>
                <w:rFonts w:ascii="宋体" w:hAnsi="宋体" w:hint="eastAsia"/>
                <w:sz w:val="24"/>
                <w:szCs w:val="24"/>
              </w:rPr>
              <w:t>本项目学生有关的研究积累和已取得的成绩</w:t>
            </w:r>
          </w:p>
          <w:p w:rsidR="007571ED" w:rsidRDefault="007571ED" w:rsidP="007571ED">
            <w:pPr>
              <w:spacing w:line="360" w:lineRule="auto"/>
              <w:ind w:right="57" w:firstLineChars="200" w:firstLine="31680"/>
              <w:rPr>
                <w:sz w:val="24"/>
                <w:szCs w:val="24"/>
                <w:lang w:val="zh-CN"/>
              </w:rPr>
            </w:pPr>
            <w:r w:rsidRPr="00976761">
              <w:rPr>
                <w:rFonts w:ascii="宋体" w:hAnsi="宋体" w:hint="eastAsia"/>
                <w:sz w:val="24"/>
                <w:szCs w:val="24"/>
              </w:rPr>
              <w:t>本项目学生均为林产化工专业本科生，系统学习了有机化学、物理化学、分析化学、仪器分析等课程，具有扎实的化学化工理论基础，掌握经典化学化工实验方法和常规仪器的操作方法</w:t>
            </w:r>
            <w:r>
              <w:rPr>
                <w:rFonts w:ascii="宋体" w:hAnsi="宋体" w:hint="eastAsia"/>
                <w:sz w:val="24"/>
                <w:szCs w:val="24"/>
              </w:rPr>
              <w:t>，</w:t>
            </w:r>
            <w:r>
              <w:rPr>
                <w:rFonts w:hint="eastAsia"/>
                <w:sz w:val="24"/>
                <w:szCs w:val="24"/>
                <w:lang w:val="zh-CN"/>
              </w:rPr>
              <w:t>具备一定的天然产物研究方面的专门知识，均有过参与指导教师主持的关于迷迭香精油、二萜类抗氧化剂、三萜类提取物的研究课题的经历。</w:t>
            </w:r>
          </w:p>
          <w:p w:rsidR="007571ED" w:rsidRDefault="007571ED" w:rsidP="007571ED">
            <w:pPr>
              <w:snapToGrid w:val="0"/>
              <w:spacing w:line="360" w:lineRule="auto"/>
              <w:ind w:firstLineChars="200" w:firstLine="31680"/>
              <w:rPr>
                <w:rFonts w:ascii="宋体"/>
                <w:sz w:val="24"/>
                <w:szCs w:val="24"/>
              </w:rPr>
            </w:pPr>
            <w:r>
              <w:rPr>
                <w:rFonts w:ascii="宋体" w:hint="eastAsia"/>
                <w:sz w:val="24"/>
                <w:szCs w:val="24"/>
              </w:rPr>
              <w:t>本项目组已经系统查阅了关于油用牡丹籽油提制及应用方面的国内外文献，制定了研究方案和实验方案，开展了索氏抽提法、常压有极溶剂法提取牡丹籽油的探索性实验，具备了一定的项目研究工作基础。</w:t>
            </w:r>
          </w:p>
          <w:p w:rsidR="007571ED" w:rsidRPr="008151DD" w:rsidRDefault="007571ED" w:rsidP="007571ED">
            <w:pPr>
              <w:snapToGrid w:val="0"/>
              <w:spacing w:line="360" w:lineRule="auto"/>
              <w:ind w:firstLineChars="200" w:firstLine="31680"/>
              <w:rPr>
                <w:rFonts w:ascii="宋体"/>
                <w:sz w:val="24"/>
                <w:szCs w:val="24"/>
              </w:rPr>
            </w:pPr>
          </w:p>
        </w:tc>
      </w:tr>
      <w:tr w:rsidR="007571ED" w:rsidRPr="001352FE">
        <w:trPr>
          <w:trHeight w:val="1602"/>
        </w:trPr>
        <w:tc>
          <w:tcPr>
            <w:tcW w:w="8663" w:type="dxa"/>
            <w:gridSpan w:val="7"/>
          </w:tcPr>
          <w:p w:rsidR="007571ED" w:rsidRPr="001352FE" w:rsidRDefault="007571ED" w:rsidP="009E1081">
            <w:pPr>
              <w:spacing w:before="120" w:line="360" w:lineRule="auto"/>
              <w:rPr>
                <w:rFonts w:ascii="宋体"/>
                <w:b/>
                <w:sz w:val="24"/>
                <w:szCs w:val="24"/>
              </w:rPr>
            </w:pPr>
            <w:r w:rsidRPr="001352FE">
              <w:rPr>
                <w:rFonts w:ascii="宋体" w:hAnsi="宋体" w:hint="eastAsia"/>
                <w:bCs/>
                <w:sz w:val="24"/>
                <w:szCs w:val="24"/>
              </w:rPr>
              <w:t>项目的创新点和特色</w:t>
            </w:r>
          </w:p>
          <w:p w:rsidR="007571ED" w:rsidRPr="00F1216D" w:rsidRDefault="007571ED" w:rsidP="007571ED">
            <w:pPr>
              <w:spacing w:line="360" w:lineRule="auto"/>
              <w:ind w:firstLineChars="200" w:firstLine="31680"/>
              <w:rPr>
                <w:rFonts w:ascii="宋体"/>
                <w:sz w:val="24"/>
                <w:szCs w:val="24"/>
              </w:rPr>
            </w:pPr>
            <w:r w:rsidRPr="00976761">
              <w:rPr>
                <w:rFonts w:ascii="宋体" w:hAnsi="宋体" w:hint="eastAsia"/>
                <w:sz w:val="24"/>
                <w:szCs w:val="24"/>
              </w:rPr>
              <w:t>构建提取、分离油用牡丹籽油，制备高纯度α</w:t>
            </w:r>
            <w:r w:rsidRPr="00976761">
              <w:rPr>
                <w:rFonts w:ascii="宋体"/>
                <w:sz w:val="24"/>
                <w:szCs w:val="24"/>
              </w:rPr>
              <w:t>-</w:t>
            </w:r>
            <w:r w:rsidRPr="00976761">
              <w:rPr>
                <w:rFonts w:ascii="宋体" w:hAnsi="宋体" w:hint="eastAsia"/>
                <w:sz w:val="24"/>
                <w:szCs w:val="24"/>
              </w:rPr>
              <w:t>亚麻酸、亚油酸和油酸的</w:t>
            </w:r>
            <w:r>
              <w:rPr>
                <w:rFonts w:ascii="宋体" w:hAnsi="宋体" w:hint="eastAsia"/>
                <w:sz w:val="24"/>
                <w:szCs w:val="24"/>
              </w:rPr>
              <w:t>集成技术体系，拓展牡丹籽油在医药、食品、保健品等领域的应用途径。</w:t>
            </w:r>
          </w:p>
        </w:tc>
      </w:tr>
      <w:tr w:rsidR="007571ED" w:rsidRPr="001352FE">
        <w:trPr>
          <w:trHeight w:val="3796"/>
        </w:trPr>
        <w:tc>
          <w:tcPr>
            <w:tcW w:w="8663" w:type="dxa"/>
            <w:gridSpan w:val="7"/>
          </w:tcPr>
          <w:p w:rsidR="007571ED" w:rsidRPr="001352FE" w:rsidRDefault="007571ED" w:rsidP="00704DC1">
            <w:pPr>
              <w:spacing w:line="360" w:lineRule="auto"/>
              <w:rPr>
                <w:rFonts w:ascii="宋体"/>
                <w:sz w:val="24"/>
                <w:szCs w:val="24"/>
              </w:rPr>
            </w:pPr>
            <w:r w:rsidRPr="001352FE">
              <w:rPr>
                <w:rFonts w:ascii="宋体" w:hAnsi="宋体" w:hint="eastAsia"/>
                <w:sz w:val="24"/>
                <w:szCs w:val="24"/>
              </w:rPr>
              <w:t>项目的技术路线及预期成果</w:t>
            </w:r>
          </w:p>
          <w:p w:rsidR="007571ED" w:rsidRPr="00806D54" w:rsidRDefault="007571ED" w:rsidP="007571ED">
            <w:pPr>
              <w:spacing w:line="360" w:lineRule="auto"/>
              <w:ind w:firstLineChars="200" w:firstLine="31680"/>
              <w:rPr>
                <w:sz w:val="24"/>
                <w:szCs w:val="24"/>
              </w:rPr>
            </w:pPr>
            <w:r>
              <w:rPr>
                <w:sz w:val="24"/>
                <w:szCs w:val="24"/>
              </w:rPr>
              <w:t>1</w:t>
            </w:r>
            <w:r w:rsidRPr="00806D54">
              <w:rPr>
                <w:sz w:val="24"/>
                <w:szCs w:val="24"/>
              </w:rPr>
              <w:t xml:space="preserve">. </w:t>
            </w:r>
            <w:r w:rsidRPr="00806D54">
              <w:rPr>
                <w:rFonts w:hAnsi="宋体" w:hint="eastAsia"/>
                <w:sz w:val="24"/>
                <w:szCs w:val="24"/>
              </w:rPr>
              <w:t>项目的预期成果</w:t>
            </w:r>
          </w:p>
          <w:p w:rsidR="007571ED" w:rsidRPr="00806D54" w:rsidRDefault="007571ED" w:rsidP="007571ED">
            <w:pPr>
              <w:spacing w:line="360" w:lineRule="auto"/>
              <w:ind w:firstLineChars="200" w:firstLine="31680"/>
              <w:rPr>
                <w:sz w:val="24"/>
                <w:szCs w:val="24"/>
              </w:rPr>
            </w:pPr>
            <w:r w:rsidRPr="00806D54">
              <w:rPr>
                <w:rFonts w:hAnsi="宋体" w:hint="eastAsia"/>
                <w:sz w:val="24"/>
                <w:szCs w:val="24"/>
              </w:rPr>
              <w:t>（</w:t>
            </w:r>
            <w:r w:rsidRPr="00806D54">
              <w:rPr>
                <w:sz w:val="24"/>
                <w:szCs w:val="24"/>
              </w:rPr>
              <w:t>1</w:t>
            </w:r>
            <w:r w:rsidRPr="00806D54">
              <w:rPr>
                <w:rFonts w:hAnsi="宋体" w:hint="eastAsia"/>
                <w:sz w:val="24"/>
                <w:szCs w:val="24"/>
              </w:rPr>
              <w:t>）</w:t>
            </w:r>
            <w:r w:rsidRPr="00976761">
              <w:rPr>
                <w:rFonts w:ascii="宋体" w:hAnsi="宋体" w:hint="eastAsia"/>
                <w:sz w:val="24"/>
                <w:szCs w:val="24"/>
              </w:rPr>
              <w:t>构建提取、分离油用牡丹籽油，制备高纯度α</w:t>
            </w:r>
            <w:r w:rsidRPr="00976761">
              <w:rPr>
                <w:rFonts w:ascii="宋体"/>
                <w:sz w:val="24"/>
                <w:szCs w:val="24"/>
              </w:rPr>
              <w:t>-</w:t>
            </w:r>
            <w:r w:rsidRPr="00976761">
              <w:rPr>
                <w:rFonts w:ascii="宋体" w:hAnsi="宋体" w:hint="eastAsia"/>
                <w:sz w:val="24"/>
                <w:szCs w:val="24"/>
              </w:rPr>
              <w:t>亚麻酸、亚油酸和油酸的</w:t>
            </w:r>
            <w:r>
              <w:rPr>
                <w:rFonts w:ascii="宋体" w:hAnsi="宋体" w:hint="eastAsia"/>
                <w:sz w:val="24"/>
                <w:szCs w:val="24"/>
              </w:rPr>
              <w:t>集成技术体系，包括：</w:t>
            </w:r>
            <w:r w:rsidRPr="008850AD">
              <w:rPr>
                <w:rFonts w:hAnsi="宋体" w:hint="eastAsia"/>
                <w:sz w:val="24"/>
                <w:szCs w:val="24"/>
              </w:rPr>
              <w:t>牡丹籽油提取方法及其优化工艺</w:t>
            </w:r>
            <w:r>
              <w:rPr>
                <w:rFonts w:hAnsi="宋体" w:hint="eastAsia"/>
                <w:sz w:val="24"/>
                <w:szCs w:val="24"/>
              </w:rPr>
              <w:t>；</w:t>
            </w:r>
            <w:r w:rsidRPr="008850AD">
              <w:rPr>
                <w:rFonts w:hAnsi="宋体" w:hint="eastAsia"/>
                <w:sz w:val="24"/>
                <w:szCs w:val="24"/>
              </w:rPr>
              <w:t>分离</w:t>
            </w:r>
            <w:r>
              <w:rPr>
                <w:rFonts w:hAnsi="宋体" w:hint="eastAsia"/>
                <w:sz w:val="24"/>
                <w:szCs w:val="24"/>
              </w:rPr>
              <w:t>牡丹籽油中的</w:t>
            </w:r>
            <w:r w:rsidRPr="008850AD">
              <w:rPr>
                <w:rFonts w:hAnsi="宋体" w:hint="eastAsia"/>
                <w:sz w:val="24"/>
                <w:szCs w:val="24"/>
              </w:rPr>
              <w:t>单不饱和脂肪酸和多不饱和脂肪酸</w:t>
            </w:r>
            <w:r>
              <w:rPr>
                <w:rFonts w:hAnsi="宋体" w:hint="eastAsia"/>
                <w:sz w:val="24"/>
                <w:szCs w:val="24"/>
              </w:rPr>
              <w:t>、分离</w:t>
            </w:r>
            <w:r w:rsidRPr="008850AD">
              <w:rPr>
                <w:rFonts w:hAnsi="宋体" w:hint="eastAsia"/>
                <w:sz w:val="24"/>
                <w:szCs w:val="24"/>
              </w:rPr>
              <w:t>多不饱和脂肪酸制备高纯度</w:t>
            </w:r>
            <w:r w:rsidRPr="008850AD">
              <w:rPr>
                <w:sz w:val="24"/>
                <w:szCs w:val="24"/>
              </w:rPr>
              <w:t>α-</w:t>
            </w:r>
            <w:r w:rsidRPr="008850AD">
              <w:rPr>
                <w:rFonts w:hAnsi="宋体" w:hint="eastAsia"/>
                <w:sz w:val="24"/>
                <w:szCs w:val="24"/>
              </w:rPr>
              <w:t>亚麻酸</w:t>
            </w:r>
            <w:r>
              <w:rPr>
                <w:rFonts w:hAnsi="宋体" w:hint="eastAsia"/>
                <w:sz w:val="24"/>
                <w:szCs w:val="24"/>
              </w:rPr>
              <w:t>和</w:t>
            </w:r>
            <w:r w:rsidRPr="008850AD">
              <w:rPr>
                <w:rFonts w:hAnsi="宋体" w:hint="eastAsia"/>
                <w:sz w:val="24"/>
                <w:szCs w:val="24"/>
              </w:rPr>
              <w:t>亚油酸</w:t>
            </w:r>
            <w:r>
              <w:rPr>
                <w:rFonts w:hAnsi="宋体" w:hint="eastAsia"/>
                <w:sz w:val="24"/>
                <w:szCs w:val="24"/>
              </w:rPr>
              <w:t>、分离</w:t>
            </w:r>
            <w:r w:rsidRPr="008850AD">
              <w:rPr>
                <w:rFonts w:hAnsi="宋体" w:hint="eastAsia"/>
                <w:sz w:val="24"/>
                <w:szCs w:val="24"/>
              </w:rPr>
              <w:t>单不饱和脂肪酸制备高纯度油酸</w:t>
            </w:r>
            <w:r>
              <w:rPr>
                <w:rFonts w:hAnsi="宋体" w:hint="eastAsia"/>
                <w:sz w:val="24"/>
                <w:szCs w:val="24"/>
              </w:rPr>
              <w:t>的方法及其优化工艺。</w:t>
            </w:r>
          </w:p>
          <w:p w:rsidR="007571ED" w:rsidRPr="00806D54" w:rsidRDefault="007571ED" w:rsidP="007571ED">
            <w:pPr>
              <w:spacing w:line="360" w:lineRule="auto"/>
              <w:ind w:firstLineChars="200" w:firstLine="31680"/>
              <w:rPr>
                <w:sz w:val="24"/>
                <w:szCs w:val="24"/>
              </w:rPr>
            </w:pPr>
            <w:r w:rsidRPr="00806D54">
              <w:rPr>
                <w:rFonts w:hAnsi="宋体" w:hint="eastAsia"/>
                <w:sz w:val="24"/>
                <w:szCs w:val="24"/>
              </w:rPr>
              <w:t>（</w:t>
            </w:r>
            <w:r w:rsidRPr="00806D54">
              <w:rPr>
                <w:sz w:val="24"/>
                <w:szCs w:val="24"/>
              </w:rPr>
              <w:t>2</w:t>
            </w:r>
            <w:r w:rsidRPr="00806D54">
              <w:rPr>
                <w:rFonts w:hAnsi="宋体" w:hint="eastAsia"/>
                <w:sz w:val="24"/>
                <w:szCs w:val="24"/>
              </w:rPr>
              <w:t>）</w:t>
            </w:r>
            <w:r>
              <w:rPr>
                <w:rFonts w:hAnsi="宋体" w:hint="eastAsia"/>
                <w:sz w:val="24"/>
                <w:szCs w:val="24"/>
              </w:rPr>
              <w:t>撰写提取、分离专题技术报告</w:t>
            </w:r>
            <w:r>
              <w:rPr>
                <w:rFonts w:hAnsi="宋体"/>
                <w:sz w:val="24"/>
                <w:szCs w:val="24"/>
              </w:rPr>
              <w:t>2</w:t>
            </w:r>
            <w:r>
              <w:rPr>
                <w:rFonts w:hAnsi="宋体" w:hint="eastAsia"/>
                <w:sz w:val="24"/>
                <w:szCs w:val="24"/>
              </w:rPr>
              <w:t>份</w:t>
            </w:r>
            <w:r w:rsidRPr="00806D54">
              <w:rPr>
                <w:rFonts w:hAnsi="宋体" w:hint="eastAsia"/>
                <w:sz w:val="24"/>
                <w:szCs w:val="24"/>
              </w:rPr>
              <w:t>。</w:t>
            </w:r>
          </w:p>
          <w:p w:rsidR="007571ED" w:rsidRPr="00806D54" w:rsidRDefault="007571ED" w:rsidP="007571ED">
            <w:pPr>
              <w:spacing w:line="360" w:lineRule="auto"/>
              <w:ind w:firstLineChars="200" w:firstLine="31680"/>
              <w:rPr>
                <w:sz w:val="24"/>
                <w:szCs w:val="24"/>
              </w:rPr>
            </w:pPr>
            <w:r w:rsidRPr="00806D54">
              <w:rPr>
                <w:rFonts w:hAnsi="宋体" w:hint="eastAsia"/>
                <w:sz w:val="24"/>
                <w:szCs w:val="24"/>
              </w:rPr>
              <w:t>（</w:t>
            </w:r>
            <w:r w:rsidRPr="00806D54">
              <w:rPr>
                <w:sz w:val="24"/>
                <w:szCs w:val="24"/>
              </w:rPr>
              <w:t>3</w:t>
            </w:r>
            <w:r w:rsidRPr="00806D54">
              <w:rPr>
                <w:rFonts w:hAnsi="宋体" w:hint="eastAsia"/>
                <w:sz w:val="24"/>
                <w:szCs w:val="24"/>
              </w:rPr>
              <w:t>）</w:t>
            </w:r>
            <w:r>
              <w:rPr>
                <w:rFonts w:hAnsi="宋体" w:hint="eastAsia"/>
                <w:sz w:val="24"/>
                <w:szCs w:val="24"/>
              </w:rPr>
              <w:t>撰写研究论文</w:t>
            </w:r>
            <w:r w:rsidRPr="00806D54">
              <w:rPr>
                <w:sz w:val="24"/>
                <w:szCs w:val="24"/>
              </w:rPr>
              <w:t>1</w:t>
            </w:r>
            <w:r w:rsidRPr="00806D54">
              <w:rPr>
                <w:rFonts w:hAnsi="宋体" w:hint="eastAsia"/>
                <w:sz w:val="24"/>
                <w:szCs w:val="24"/>
              </w:rPr>
              <w:t>～</w:t>
            </w:r>
            <w:r w:rsidRPr="00806D54">
              <w:rPr>
                <w:sz w:val="24"/>
                <w:szCs w:val="24"/>
              </w:rPr>
              <w:t>2</w:t>
            </w:r>
            <w:r w:rsidRPr="00806D54">
              <w:rPr>
                <w:rFonts w:hAnsi="宋体" w:hint="eastAsia"/>
                <w:sz w:val="24"/>
                <w:szCs w:val="24"/>
              </w:rPr>
              <w:t>篇。</w:t>
            </w:r>
          </w:p>
          <w:p w:rsidR="007571ED" w:rsidRPr="004C3BAC" w:rsidRDefault="007571ED" w:rsidP="007571ED">
            <w:pPr>
              <w:spacing w:line="360" w:lineRule="auto"/>
              <w:ind w:firstLineChars="200" w:firstLine="31680"/>
              <w:rPr>
                <w:sz w:val="24"/>
                <w:szCs w:val="24"/>
              </w:rPr>
            </w:pPr>
            <w:r>
              <w:rPr>
                <w:sz w:val="24"/>
                <w:szCs w:val="24"/>
              </w:rPr>
              <w:t>2</w:t>
            </w:r>
            <w:r w:rsidRPr="004C3BAC">
              <w:rPr>
                <w:sz w:val="24"/>
                <w:szCs w:val="24"/>
              </w:rPr>
              <w:t xml:space="preserve">. </w:t>
            </w:r>
            <w:r w:rsidRPr="004C3BAC">
              <w:rPr>
                <w:rFonts w:hAnsi="宋体" w:hint="eastAsia"/>
                <w:sz w:val="24"/>
                <w:szCs w:val="24"/>
              </w:rPr>
              <w:t>项目的技术路线</w:t>
            </w:r>
            <w:r w:rsidRPr="004C3BAC">
              <w:rPr>
                <w:sz w:val="24"/>
                <w:szCs w:val="24"/>
              </w:rPr>
              <w:t xml:space="preserve">                         </w:t>
            </w:r>
          </w:p>
          <w:p w:rsidR="007571ED" w:rsidRPr="004C3BAC" w:rsidRDefault="007571ED" w:rsidP="004C3BAC">
            <w:pPr>
              <w:spacing w:line="360" w:lineRule="auto"/>
              <w:ind w:left="180"/>
              <w:rPr>
                <w:rFonts w:ascii="宋体"/>
                <w:sz w:val="24"/>
                <w:szCs w:val="24"/>
              </w:rPr>
            </w:pPr>
            <w:r>
              <w:rPr>
                <w:rFonts w:ascii="宋体" w:hAnsi="宋体"/>
                <w:sz w:val="24"/>
                <w:szCs w:val="24"/>
              </w:rPr>
              <w:t xml:space="preserve"> </w:t>
            </w:r>
            <w:r w:rsidRPr="00AF2AAA">
              <w:rPr>
                <w:rFonts w:asci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30.5pt">
                  <v:imagedata r:id="rId6" o:title=""/>
                </v:shape>
              </w:pict>
            </w:r>
            <w:r>
              <w:rPr>
                <w:rFonts w:ascii="宋体" w:hAnsi="宋体"/>
                <w:sz w:val="24"/>
                <w:szCs w:val="24"/>
              </w:rPr>
              <w:t xml:space="preserve">                                                     </w:t>
            </w:r>
          </w:p>
          <w:p w:rsidR="007571ED" w:rsidRPr="001352FE" w:rsidRDefault="007571ED" w:rsidP="007571ED">
            <w:pPr>
              <w:spacing w:line="360" w:lineRule="auto"/>
              <w:ind w:firstLineChars="200" w:firstLine="31680"/>
              <w:rPr>
                <w:rFonts w:ascii="宋体"/>
                <w:sz w:val="24"/>
                <w:szCs w:val="24"/>
              </w:rPr>
            </w:pPr>
          </w:p>
        </w:tc>
      </w:tr>
      <w:tr w:rsidR="007571ED" w:rsidRPr="001352FE">
        <w:trPr>
          <w:trHeight w:val="2520"/>
        </w:trPr>
        <w:tc>
          <w:tcPr>
            <w:tcW w:w="8663" w:type="dxa"/>
            <w:gridSpan w:val="7"/>
          </w:tcPr>
          <w:p w:rsidR="007571ED" w:rsidRPr="004447A2" w:rsidRDefault="007571ED" w:rsidP="004447A2">
            <w:pPr>
              <w:spacing w:line="360" w:lineRule="auto"/>
              <w:rPr>
                <w:sz w:val="24"/>
                <w:szCs w:val="24"/>
              </w:rPr>
            </w:pPr>
            <w:r w:rsidRPr="004447A2">
              <w:rPr>
                <w:rFonts w:hAnsi="宋体" w:hint="eastAsia"/>
                <w:sz w:val="24"/>
                <w:szCs w:val="24"/>
              </w:rPr>
              <w:t>年度目标和工作内容（分年度写）</w:t>
            </w:r>
          </w:p>
          <w:p w:rsidR="007571ED" w:rsidRPr="004447A2" w:rsidRDefault="007571ED" w:rsidP="007571ED">
            <w:pPr>
              <w:spacing w:line="360" w:lineRule="auto"/>
              <w:ind w:firstLineChars="200" w:firstLine="31680"/>
              <w:rPr>
                <w:sz w:val="24"/>
                <w:szCs w:val="24"/>
              </w:rPr>
            </w:pPr>
            <w:r w:rsidRPr="004447A2">
              <w:rPr>
                <w:sz w:val="24"/>
                <w:szCs w:val="24"/>
              </w:rPr>
              <w:t>2017</w:t>
            </w:r>
            <w:r w:rsidRPr="004447A2">
              <w:rPr>
                <w:rFonts w:hAnsi="宋体" w:hint="eastAsia"/>
                <w:sz w:val="24"/>
                <w:szCs w:val="24"/>
              </w:rPr>
              <w:t>年</w:t>
            </w:r>
            <w:r>
              <w:rPr>
                <w:sz w:val="24"/>
                <w:szCs w:val="24"/>
              </w:rPr>
              <w:t>5</w:t>
            </w:r>
            <w:r w:rsidRPr="004447A2">
              <w:rPr>
                <w:rFonts w:hAnsi="宋体" w:hint="eastAsia"/>
                <w:sz w:val="24"/>
                <w:szCs w:val="24"/>
              </w:rPr>
              <w:t>月至</w:t>
            </w:r>
            <w:r w:rsidRPr="004447A2">
              <w:rPr>
                <w:sz w:val="24"/>
                <w:szCs w:val="24"/>
              </w:rPr>
              <w:t>2017</w:t>
            </w:r>
            <w:r w:rsidRPr="004447A2">
              <w:rPr>
                <w:rFonts w:hAnsi="宋体" w:hint="eastAsia"/>
                <w:sz w:val="24"/>
                <w:szCs w:val="24"/>
              </w:rPr>
              <w:t>年</w:t>
            </w:r>
            <w:r>
              <w:rPr>
                <w:sz w:val="24"/>
                <w:szCs w:val="24"/>
              </w:rPr>
              <w:t>12</w:t>
            </w:r>
            <w:r w:rsidRPr="004447A2">
              <w:rPr>
                <w:rFonts w:hAnsi="宋体" w:hint="eastAsia"/>
                <w:sz w:val="24"/>
                <w:szCs w:val="24"/>
              </w:rPr>
              <w:t>月：</w:t>
            </w:r>
            <w:r>
              <w:rPr>
                <w:rFonts w:hAnsi="宋体" w:hint="eastAsia"/>
                <w:sz w:val="24"/>
                <w:szCs w:val="24"/>
              </w:rPr>
              <w:t>开展</w:t>
            </w:r>
            <w:r w:rsidRPr="004447A2">
              <w:rPr>
                <w:rFonts w:hAnsi="宋体" w:hint="eastAsia"/>
                <w:sz w:val="24"/>
                <w:szCs w:val="24"/>
              </w:rPr>
              <w:t>牡丹籽油提取方法及其优化工艺</w:t>
            </w:r>
            <w:r>
              <w:rPr>
                <w:rFonts w:hAnsi="宋体" w:hint="eastAsia"/>
                <w:sz w:val="24"/>
                <w:szCs w:val="24"/>
              </w:rPr>
              <w:t>、</w:t>
            </w:r>
            <w:r w:rsidRPr="008850AD">
              <w:rPr>
                <w:rFonts w:hAnsi="宋体" w:hint="eastAsia"/>
                <w:sz w:val="24"/>
                <w:szCs w:val="24"/>
              </w:rPr>
              <w:t>牡丹籽油的化学组成研究</w:t>
            </w:r>
            <w:r>
              <w:rPr>
                <w:rFonts w:hAnsi="宋体" w:hint="eastAsia"/>
                <w:sz w:val="24"/>
                <w:szCs w:val="24"/>
              </w:rPr>
              <w:t>，形成专题技术报告</w:t>
            </w:r>
            <w:r>
              <w:rPr>
                <w:rFonts w:hAnsi="宋体"/>
                <w:sz w:val="24"/>
                <w:szCs w:val="24"/>
              </w:rPr>
              <w:t>1</w:t>
            </w:r>
            <w:r>
              <w:rPr>
                <w:rFonts w:hAnsi="宋体" w:hint="eastAsia"/>
                <w:sz w:val="24"/>
                <w:szCs w:val="24"/>
              </w:rPr>
              <w:t>份。</w:t>
            </w:r>
          </w:p>
          <w:p w:rsidR="007571ED" w:rsidRPr="004447A2" w:rsidRDefault="007571ED" w:rsidP="007571ED">
            <w:pPr>
              <w:spacing w:line="360" w:lineRule="auto"/>
              <w:ind w:firstLineChars="200" w:firstLine="31680"/>
              <w:rPr>
                <w:sz w:val="24"/>
                <w:szCs w:val="24"/>
              </w:rPr>
            </w:pPr>
            <w:r w:rsidRPr="004447A2">
              <w:rPr>
                <w:sz w:val="24"/>
                <w:szCs w:val="24"/>
              </w:rPr>
              <w:t>201</w:t>
            </w:r>
            <w:r>
              <w:rPr>
                <w:sz w:val="24"/>
                <w:szCs w:val="24"/>
              </w:rPr>
              <w:t>8</w:t>
            </w:r>
            <w:r w:rsidRPr="004447A2">
              <w:rPr>
                <w:rFonts w:hAnsi="宋体" w:hint="eastAsia"/>
                <w:sz w:val="24"/>
                <w:szCs w:val="24"/>
              </w:rPr>
              <w:t>年</w:t>
            </w:r>
            <w:r>
              <w:rPr>
                <w:sz w:val="24"/>
                <w:szCs w:val="24"/>
              </w:rPr>
              <w:t>1</w:t>
            </w:r>
            <w:r w:rsidRPr="004447A2">
              <w:rPr>
                <w:rFonts w:hAnsi="宋体" w:hint="eastAsia"/>
                <w:sz w:val="24"/>
                <w:szCs w:val="24"/>
              </w:rPr>
              <w:t>月至</w:t>
            </w:r>
            <w:r w:rsidRPr="004447A2">
              <w:rPr>
                <w:sz w:val="24"/>
                <w:szCs w:val="24"/>
              </w:rPr>
              <w:t>201</w:t>
            </w:r>
            <w:r>
              <w:rPr>
                <w:sz w:val="24"/>
                <w:szCs w:val="24"/>
              </w:rPr>
              <w:t>8</w:t>
            </w:r>
            <w:r w:rsidRPr="004447A2">
              <w:rPr>
                <w:rFonts w:hAnsi="宋体" w:hint="eastAsia"/>
                <w:sz w:val="24"/>
                <w:szCs w:val="24"/>
              </w:rPr>
              <w:t>年</w:t>
            </w:r>
            <w:r w:rsidRPr="004447A2">
              <w:rPr>
                <w:sz w:val="24"/>
                <w:szCs w:val="24"/>
              </w:rPr>
              <w:t>12</w:t>
            </w:r>
            <w:r w:rsidRPr="004447A2">
              <w:rPr>
                <w:rFonts w:hAnsi="宋体" w:hint="eastAsia"/>
                <w:sz w:val="24"/>
                <w:szCs w:val="24"/>
              </w:rPr>
              <w:t>月：</w:t>
            </w:r>
            <w:r>
              <w:rPr>
                <w:rFonts w:hAnsi="宋体" w:hint="eastAsia"/>
                <w:sz w:val="24"/>
                <w:szCs w:val="24"/>
              </w:rPr>
              <w:t>开展</w:t>
            </w:r>
            <w:r w:rsidRPr="008850AD">
              <w:rPr>
                <w:rFonts w:hAnsi="宋体" w:hint="eastAsia"/>
                <w:sz w:val="24"/>
                <w:szCs w:val="24"/>
              </w:rPr>
              <w:t>牡丹籽油</w:t>
            </w:r>
            <w:r>
              <w:rPr>
                <w:rFonts w:hAnsi="宋体" w:hint="eastAsia"/>
                <w:sz w:val="24"/>
                <w:szCs w:val="24"/>
              </w:rPr>
              <w:t>综合</w:t>
            </w:r>
            <w:r w:rsidRPr="008850AD">
              <w:rPr>
                <w:rFonts w:hAnsi="宋体" w:hint="eastAsia"/>
                <w:sz w:val="24"/>
                <w:szCs w:val="24"/>
              </w:rPr>
              <w:t>分离方法及其优化工艺研究</w:t>
            </w:r>
            <w:r>
              <w:rPr>
                <w:rFonts w:hAnsi="宋体" w:hint="eastAsia"/>
                <w:sz w:val="24"/>
                <w:szCs w:val="24"/>
              </w:rPr>
              <w:t>，形成专题技术报告</w:t>
            </w:r>
            <w:r>
              <w:rPr>
                <w:rFonts w:hAnsi="宋体"/>
                <w:sz w:val="24"/>
                <w:szCs w:val="24"/>
              </w:rPr>
              <w:t>1</w:t>
            </w:r>
            <w:r>
              <w:rPr>
                <w:rFonts w:hAnsi="宋体" w:hint="eastAsia"/>
                <w:sz w:val="24"/>
                <w:szCs w:val="24"/>
              </w:rPr>
              <w:t>份，撰写研究论文</w:t>
            </w:r>
            <w:r w:rsidRPr="00806D54">
              <w:rPr>
                <w:sz w:val="24"/>
                <w:szCs w:val="24"/>
              </w:rPr>
              <w:t>1</w:t>
            </w:r>
            <w:r w:rsidRPr="00806D54">
              <w:rPr>
                <w:rFonts w:hAnsi="宋体" w:hint="eastAsia"/>
                <w:sz w:val="24"/>
                <w:szCs w:val="24"/>
              </w:rPr>
              <w:t>～</w:t>
            </w:r>
            <w:r w:rsidRPr="00806D54">
              <w:rPr>
                <w:sz w:val="24"/>
                <w:szCs w:val="24"/>
              </w:rPr>
              <w:t>2</w:t>
            </w:r>
            <w:r w:rsidRPr="00806D54">
              <w:rPr>
                <w:rFonts w:hAnsi="宋体" w:hint="eastAsia"/>
                <w:sz w:val="24"/>
                <w:szCs w:val="24"/>
              </w:rPr>
              <w:t>篇。</w:t>
            </w:r>
          </w:p>
          <w:p w:rsidR="007571ED" w:rsidRPr="001352FE" w:rsidRDefault="007571ED" w:rsidP="007571ED">
            <w:pPr>
              <w:spacing w:line="360" w:lineRule="auto"/>
              <w:ind w:firstLineChars="200" w:firstLine="31680"/>
              <w:rPr>
                <w:rFonts w:ascii="宋体"/>
                <w:sz w:val="24"/>
                <w:szCs w:val="24"/>
              </w:rPr>
            </w:pPr>
            <w:r>
              <w:rPr>
                <w:sz w:val="24"/>
                <w:szCs w:val="24"/>
              </w:rPr>
              <w:t>2019</w:t>
            </w:r>
            <w:r w:rsidRPr="004447A2">
              <w:rPr>
                <w:rFonts w:hAnsi="宋体" w:hint="eastAsia"/>
                <w:sz w:val="24"/>
                <w:szCs w:val="24"/>
              </w:rPr>
              <w:t>年</w:t>
            </w:r>
            <w:r>
              <w:rPr>
                <w:sz w:val="24"/>
                <w:szCs w:val="24"/>
              </w:rPr>
              <w:t>1</w:t>
            </w:r>
            <w:r w:rsidRPr="004447A2">
              <w:rPr>
                <w:rFonts w:hAnsi="宋体" w:hint="eastAsia"/>
                <w:sz w:val="24"/>
                <w:szCs w:val="24"/>
              </w:rPr>
              <w:t>月至</w:t>
            </w:r>
            <w:r w:rsidRPr="004447A2">
              <w:rPr>
                <w:sz w:val="24"/>
                <w:szCs w:val="24"/>
              </w:rPr>
              <w:t>201</w:t>
            </w:r>
            <w:r>
              <w:rPr>
                <w:sz w:val="24"/>
                <w:szCs w:val="24"/>
              </w:rPr>
              <w:t>9</w:t>
            </w:r>
            <w:r w:rsidRPr="004447A2">
              <w:rPr>
                <w:rFonts w:hAnsi="宋体" w:hint="eastAsia"/>
                <w:sz w:val="24"/>
                <w:szCs w:val="24"/>
              </w:rPr>
              <w:t>年</w:t>
            </w:r>
            <w:r>
              <w:rPr>
                <w:sz w:val="24"/>
                <w:szCs w:val="24"/>
              </w:rPr>
              <w:t>3</w:t>
            </w:r>
            <w:r w:rsidRPr="004447A2">
              <w:rPr>
                <w:rFonts w:hAnsi="宋体" w:hint="eastAsia"/>
                <w:sz w:val="24"/>
                <w:szCs w:val="24"/>
              </w:rPr>
              <w:t>月：</w:t>
            </w:r>
            <w:r>
              <w:rPr>
                <w:rFonts w:hAnsi="宋体" w:hint="eastAsia"/>
                <w:sz w:val="24"/>
                <w:szCs w:val="24"/>
              </w:rPr>
              <w:t>开展</w:t>
            </w:r>
            <w:r w:rsidRPr="004447A2">
              <w:rPr>
                <w:rFonts w:hAnsi="宋体" w:hint="eastAsia"/>
                <w:sz w:val="24"/>
                <w:szCs w:val="24"/>
              </w:rPr>
              <w:t>补充实验，整理研究结果，</w:t>
            </w:r>
            <w:r>
              <w:rPr>
                <w:rFonts w:hAnsi="宋体" w:hint="eastAsia"/>
                <w:sz w:val="24"/>
                <w:szCs w:val="24"/>
              </w:rPr>
              <w:t>准备</w:t>
            </w:r>
            <w:r w:rsidRPr="004447A2">
              <w:rPr>
                <w:rFonts w:hAnsi="宋体" w:hint="eastAsia"/>
                <w:sz w:val="24"/>
                <w:szCs w:val="24"/>
              </w:rPr>
              <w:t>结题材料。</w:t>
            </w:r>
          </w:p>
        </w:tc>
      </w:tr>
      <w:tr w:rsidR="007571ED" w:rsidRPr="001352FE">
        <w:trPr>
          <w:trHeight w:val="2520"/>
        </w:trPr>
        <w:tc>
          <w:tcPr>
            <w:tcW w:w="8663" w:type="dxa"/>
            <w:gridSpan w:val="7"/>
            <w:vAlign w:val="center"/>
          </w:tcPr>
          <w:p w:rsidR="007571ED" w:rsidRDefault="007571ED" w:rsidP="00472DC1">
            <w:pPr>
              <w:spacing w:line="360" w:lineRule="auto"/>
              <w:rPr>
                <w:rFonts w:ascii="宋体"/>
                <w:sz w:val="24"/>
                <w:szCs w:val="24"/>
              </w:rPr>
            </w:pPr>
            <w:r w:rsidRPr="001352FE">
              <w:rPr>
                <w:rFonts w:ascii="宋体" w:hAnsi="宋体" w:hint="eastAsia"/>
                <w:sz w:val="24"/>
                <w:szCs w:val="24"/>
              </w:rPr>
              <w:t>指导教师意见</w:t>
            </w:r>
          </w:p>
          <w:p w:rsidR="007571ED" w:rsidRPr="00976761" w:rsidRDefault="007571ED" w:rsidP="007571ED">
            <w:pPr>
              <w:spacing w:line="360" w:lineRule="auto"/>
              <w:ind w:firstLineChars="200" w:firstLine="31680"/>
              <w:rPr>
                <w:rFonts w:ascii="宋体"/>
                <w:sz w:val="24"/>
                <w:szCs w:val="24"/>
              </w:rPr>
            </w:pPr>
            <w:r w:rsidRPr="00976761">
              <w:rPr>
                <w:rFonts w:ascii="宋体" w:hAnsi="宋体" w:hint="eastAsia"/>
                <w:sz w:val="24"/>
                <w:szCs w:val="24"/>
              </w:rPr>
              <w:t>近年来，受到国家政策的引导，全国油用牡丹种植面积和种植区域不断增加和扩大。相对于不断增长的资源量，油用牡丹籽油的深加工利用技术明显滞后，造成因油用牡丹籽油应用途径单一而供大于求的局面。在现阶段开展油用牡丹籽油的精细化深加工利用技术研究，拓展牡丹籽油在医药、保健品等</w:t>
            </w:r>
            <w:r>
              <w:rPr>
                <w:rFonts w:ascii="宋体" w:hAnsi="宋体" w:hint="eastAsia"/>
                <w:sz w:val="24"/>
                <w:szCs w:val="24"/>
              </w:rPr>
              <w:t>高端</w:t>
            </w:r>
            <w:r w:rsidRPr="00976761">
              <w:rPr>
                <w:rFonts w:ascii="宋体" w:hAnsi="宋体" w:hint="eastAsia"/>
                <w:sz w:val="24"/>
                <w:szCs w:val="24"/>
              </w:rPr>
              <w:t>领域的应用途径，具有现实意义。</w:t>
            </w:r>
          </w:p>
          <w:p w:rsidR="007571ED" w:rsidRDefault="007571ED" w:rsidP="007571ED">
            <w:pPr>
              <w:spacing w:line="360" w:lineRule="auto"/>
              <w:ind w:firstLineChars="200" w:firstLine="31680"/>
              <w:rPr>
                <w:rFonts w:ascii="宋体"/>
                <w:sz w:val="24"/>
                <w:szCs w:val="24"/>
              </w:rPr>
            </w:pPr>
            <w:r w:rsidRPr="00976761">
              <w:rPr>
                <w:rFonts w:ascii="宋体" w:hAnsi="宋体" w:hint="eastAsia"/>
                <w:sz w:val="24"/>
                <w:szCs w:val="24"/>
              </w:rPr>
              <w:t>项目研究工作需要多门基础课程、专业基础课程、专业课程的知识，涉及多种经典的提取、分离、检测技术手段的综合运用，此类研究工作在植物有效物质的化学利用研究领域具有广泛的代表性。对于尚未从事过系统科学研究工作的林产化工专业本科生来说，选择此类课题涉足科研，具有较强的现实意义，具有较高的科研训练价值。</w:t>
            </w: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Default="007571ED" w:rsidP="007571ED">
            <w:pPr>
              <w:spacing w:line="360" w:lineRule="auto"/>
              <w:ind w:firstLineChars="200" w:firstLine="31680"/>
              <w:rPr>
                <w:rFonts w:ascii="宋体"/>
                <w:sz w:val="24"/>
                <w:szCs w:val="24"/>
              </w:rPr>
            </w:pPr>
          </w:p>
          <w:p w:rsidR="007571ED" w:rsidRPr="001352FE" w:rsidRDefault="007571ED" w:rsidP="00677B41">
            <w:pPr>
              <w:spacing w:line="360" w:lineRule="auto"/>
              <w:rPr>
                <w:rFonts w:ascii="宋体"/>
                <w:sz w:val="24"/>
                <w:szCs w:val="24"/>
              </w:rPr>
            </w:pPr>
          </w:p>
          <w:p w:rsidR="007571ED" w:rsidRPr="001352FE" w:rsidRDefault="007571ED" w:rsidP="007571ED">
            <w:pPr>
              <w:ind w:leftChars="60" w:left="31680" w:firstLineChars="1303" w:firstLine="31680"/>
              <w:rPr>
                <w:rFonts w:ascii="宋体"/>
                <w:sz w:val="24"/>
                <w:szCs w:val="24"/>
              </w:rPr>
            </w:pPr>
            <w:r w:rsidRPr="001352FE">
              <w:rPr>
                <w:rFonts w:ascii="宋体" w:hAnsi="宋体" w:hint="eastAsia"/>
                <w:sz w:val="24"/>
                <w:szCs w:val="24"/>
              </w:rPr>
              <w:t>签字：</w:t>
            </w:r>
            <w:r w:rsidRPr="001352FE">
              <w:rPr>
                <w:rFonts w:ascii="宋体" w:hAnsi="宋体"/>
                <w:sz w:val="24"/>
                <w:szCs w:val="24"/>
              </w:rPr>
              <w:t xml:space="preserve">                   </w:t>
            </w:r>
            <w:r w:rsidRPr="001352FE">
              <w:rPr>
                <w:rFonts w:ascii="宋体" w:hAnsi="宋体" w:hint="eastAsia"/>
                <w:sz w:val="24"/>
                <w:szCs w:val="24"/>
              </w:rPr>
              <w:t>日期：</w:t>
            </w:r>
          </w:p>
        </w:tc>
      </w:tr>
    </w:tbl>
    <w:p w:rsidR="007571ED" w:rsidRPr="001765F6" w:rsidRDefault="007571ED" w:rsidP="00041C51">
      <w:r w:rsidRPr="00F57E8A">
        <w:rPr>
          <w:rFonts w:ascii="仿宋_GB2312" w:eastAsia="仿宋_GB2312" w:hAnsi="宋体" w:hint="eastAsia"/>
          <w:sz w:val="28"/>
          <w:szCs w:val="28"/>
        </w:rPr>
        <w:t>注：本表栏空不够可另附纸张</w:t>
      </w:r>
    </w:p>
    <w:sectPr w:rsidR="007571ED" w:rsidRPr="001765F6" w:rsidSect="00041C51">
      <w:headerReference w:type="default" r:id="rId7"/>
      <w:footerReference w:type="default" r:id="rId8"/>
      <w:pgSz w:w="11906" w:h="16838" w:code="9"/>
      <w:pgMar w:top="1361" w:right="1701" w:bottom="1361" w:left="1758" w:header="851" w:footer="1418" w:gutter="0"/>
      <w:cols w:space="425"/>
      <w:docGrid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ED" w:rsidRDefault="007571ED" w:rsidP="00E67DDA">
      <w:r>
        <w:separator/>
      </w:r>
    </w:p>
  </w:endnote>
  <w:endnote w:type="continuationSeparator" w:id="0">
    <w:p w:rsidR="007571ED" w:rsidRDefault="007571ED" w:rsidP="00E67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ED" w:rsidRPr="008151DD" w:rsidRDefault="007571ED" w:rsidP="00B66F79">
    <w:pPr>
      <w:pStyle w:val="Footer"/>
      <w:framePr w:wrap="auto" w:vAnchor="text" w:hAnchor="margin" w:xAlign="outside" w:y="1"/>
      <w:rPr>
        <w:rStyle w:val="PageNumber"/>
        <w:rFonts w:ascii="宋体"/>
        <w:sz w:val="28"/>
        <w:szCs w:val="28"/>
      </w:rPr>
    </w:pPr>
    <w:r w:rsidRPr="008151DD">
      <w:rPr>
        <w:rStyle w:val="PageNumber"/>
        <w:rFonts w:ascii="宋体" w:hAnsi="宋体" w:hint="eastAsia"/>
        <w:sz w:val="28"/>
        <w:szCs w:val="28"/>
      </w:rPr>
      <w:t>－</w:t>
    </w:r>
    <w:r w:rsidRPr="008151DD">
      <w:rPr>
        <w:rStyle w:val="PageNumber"/>
        <w:rFonts w:ascii="宋体" w:hAnsi="宋体"/>
        <w:sz w:val="28"/>
        <w:szCs w:val="28"/>
      </w:rPr>
      <w:fldChar w:fldCharType="begin"/>
    </w:r>
    <w:r w:rsidRPr="008151DD">
      <w:rPr>
        <w:rStyle w:val="PageNumber"/>
        <w:rFonts w:ascii="宋体" w:hAnsi="宋体"/>
        <w:sz w:val="28"/>
        <w:szCs w:val="28"/>
      </w:rPr>
      <w:instrText xml:space="preserve">PAGE  </w:instrText>
    </w:r>
    <w:r w:rsidRPr="008151DD">
      <w:rPr>
        <w:rStyle w:val="PageNumber"/>
        <w:rFonts w:ascii="宋体" w:hAnsi="宋体"/>
        <w:sz w:val="28"/>
        <w:szCs w:val="28"/>
      </w:rPr>
      <w:fldChar w:fldCharType="separate"/>
    </w:r>
    <w:r>
      <w:rPr>
        <w:rStyle w:val="PageNumber"/>
        <w:rFonts w:ascii="宋体" w:hAnsi="宋体"/>
        <w:noProof/>
        <w:sz w:val="28"/>
        <w:szCs w:val="28"/>
      </w:rPr>
      <w:t>1</w:t>
    </w:r>
    <w:r w:rsidRPr="008151DD">
      <w:rPr>
        <w:rStyle w:val="PageNumber"/>
        <w:rFonts w:ascii="宋体" w:hAnsi="宋体"/>
        <w:sz w:val="28"/>
        <w:szCs w:val="28"/>
      </w:rPr>
      <w:fldChar w:fldCharType="end"/>
    </w:r>
    <w:r w:rsidRPr="008151DD">
      <w:rPr>
        <w:rStyle w:val="PageNumber"/>
        <w:rFonts w:ascii="宋体" w:hAnsi="宋体" w:hint="eastAsia"/>
        <w:sz w:val="28"/>
        <w:szCs w:val="28"/>
      </w:rPr>
      <w:t>－</w:t>
    </w:r>
  </w:p>
  <w:p w:rsidR="007571ED" w:rsidRDefault="007571ED" w:rsidP="00EB774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ED" w:rsidRDefault="007571ED" w:rsidP="00E67DDA">
      <w:r>
        <w:separator/>
      </w:r>
    </w:p>
  </w:footnote>
  <w:footnote w:type="continuationSeparator" w:id="0">
    <w:p w:rsidR="007571ED" w:rsidRDefault="007571ED" w:rsidP="00E6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ED" w:rsidRDefault="007571ED" w:rsidP="006B691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5F6"/>
    <w:rsid w:val="00041C51"/>
    <w:rsid w:val="00047DC9"/>
    <w:rsid w:val="00071FAB"/>
    <w:rsid w:val="000911B7"/>
    <w:rsid w:val="000D73BF"/>
    <w:rsid w:val="001352FE"/>
    <w:rsid w:val="00146B34"/>
    <w:rsid w:val="00167ED3"/>
    <w:rsid w:val="001765F6"/>
    <w:rsid w:val="00197968"/>
    <w:rsid w:val="001B7817"/>
    <w:rsid w:val="001F6477"/>
    <w:rsid w:val="00251448"/>
    <w:rsid w:val="00290FAB"/>
    <w:rsid w:val="003038F3"/>
    <w:rsid w:val="003A6213"/>
    <w:rsid w:val="003C5ED9"/>
    <w:rsid w:val="003D67DB"/>
    <w:rsid w:val="003F1979"/>
    <w:rsid w:val="00411F62"/>
    <w:rsid w:val="00426925"/>
    <w:rsid w:val="004447A2"/>
    <w:rsid w:val="00467865"/>
    <w:rsid w:val="00472DC1"/>
    <w:rsid w:val="004C3BAC"/>
    <w:rsid w:val="0050674A"/>
    <w:rsid w:val="00526E43"/>
    <w:rsid w:val="00527047"/>
    <w:rsid w:val="005472C8"/>
    <w:rsid w:val="005D348F"/>
    <w:rsid w:val="00602DAB"/>
    <w:rsid w:val="0062762E"/>
    <w:rsid w:val="00677B41"/>
    <w:rsid w:val="006B691C"/>
    <w:rsid w:val="006C5BA6"/>
    <w:rsid w:val="006C76DA"/>
    <w:rsid w:val="006D5231"/>
    <w:rsid w:val="006E1CEA"/>
    <w:rsid w:val="00704DC1"/>
    <w:rsid w:val="0072220E"/>
    <w:rsid w:val="007571ED"/>
    <w:rsid w:val="0077307D"/>
    <w:rsid w:val="007B0654"/>
    <w:rsid w:val="007D2BDD"/>
    <w:rsid w:val="007D551F"/>
    <w:rsid w:val="00806D54"/>
    <w:rsid w:val="008151DD"/>
    <w:rsid w:val="00870616"/>
    <w:rsid w:val="00880C50"/>
    <w:rsid w:val="008850AD"/>
    <w:rsid w:val="008D313D"/>
    <w:rsid w:val="008D7547"/>
    <w:rsid w:val="008E139B"/>
    <w:rsid w:val="00901EB8"/>
    <w:rsid w:val="00936C67"/>
    <w:rsid w:val="009757A9"/>
    <w:rsid w:val="00976761"/>
    <w:rsid w:val="009D23DC"/>
    <w:rsid w:val="009E1081"/>
    <w:rsid w:val="009F70BF"/>
    <w:rsid w:val="00A23528"/>
    <w:rsid w:val="00A36EDE"/>
    <w:rsid w:val="00A43A3E"/>
    <w:rsid w:val="00A52C84"/>
    <w:rsid w:val="00A7150B"/>
    <w:rsid w:val="00AE00A9"/>
    <w:rsid w:val="00AF2AAA"/>
    <w:rsid w:val="00B277C9"/>
    <w:rsid w:val="00B441B4"/>
    <w:rsid w:val="00B66F79"/>
    <w:rsid w:val="00B93161"/>
    <w:rsid w:val="00B9617A"/>
    <w:rsid w:val="00BB3AD3"/>
    <w:rsid w:val="00BB6995"/>
    <w:rsid w:val="00BD7E03"/>
    <w:rsid w:val="00BE4696"/>
    <w:rsid w:val="00C25076"/>
    <w:rsid w:val="00C43BB7"/>
    <w:rsid w:val="00C878CD"/>
    <w:rsid w:val="00CA2AF8"/>
    <w:rsid w:val="00CB77E3"/>
    <w:rsid w:val="00CD189B"/>
    <w:rsid w:val="00CE126B"/>
    <w:rsid w:val="00D00AFE"/>
    <w:rsid w:val="00D25143"/>
    <w:rsid w:val="00D33A37"/>
    <w:rsid w:val="00D342DA"/>
    <w:rsid w:val="00D628A8"/>
    <w:rsid w:val="00DC5DCC"/>
    <w:rsid w:val="00E33460"/>
    <w:rsid w:val="00E65169"/>
    <w:rsid w:val="00E67DDA"/>
    <w:rsid w:val="00EB0805"/>
    <w:rsid w:val="00EB5820"/>
    <w:rsid w:val="00EB7748"/>
    <w:rsid w:val="00EC4EE0"/>
    <w:rsid w:val="00EE16AB"/>
    <w:rsid w:val="00EE60E3"/>
    <w:rsid w:val="00F1216D"/>
    <w:rsid w:val="00F12491"/>
    <w:rsid w:val="00F140FC"/>
    <w:rsid w:val="00F24908"/>
    <w:rsid w:val="00F4261A"/>
    <w:rsid w:val="00F57E8A"/>
    <w:rsid w:val="00F7779A"/>
    <w:rsid w:val="00FA6AFA"/>
    <w:rsid w:val="00FB5E63"/>
    <w:rsid w:val="00FC61B7"/>
    <w:rsid w:val="00FF11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F6"/>
    <w:pPr>
      <w:widowControl w:val="0"/>
      <w:jc w:val="both"/>
    </w:pPr>
    <w:rPr>
      <w:rFonts w:ascii="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65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765F6"/>
    <w:rPr>
      <w:rFonts w:ascii="Times New Roman" w:eastAsia="宋体" w:hAnsi="Times New Roman" w:cs="Times New Roman"/>
      <w:sz w:val="18"/>
      <w:szCs w:val="18"/>
    </w:rPr>
  </w:style>
  <w:style w:type="character" w:styleId="PageNumber">
    <w:name w:val="page number"/>
    <w:basedOn w:val="DefaultParagraphFont"/>
    <w:uiPriority w:val="99"/>
    <w:rsid w:val="001765F6"/>
    <w:rPr>
      <w:rFonts w:cs="Times New Roman"/>
    </w:rPr>
  </w:style>
  <w:style w:type="paragraph" w:styleId="Header">
    <w:name w:val="header"/>
    <w:basedOn w:val="Normal"/>
    <w:link w:val="HeaderChar"/>
    <w:uiPriority w:val="99"/>
    <w:rsid w:val="001765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765F6"/>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1765F6"/>
    <w:pPr>
      <w:adjustRightInd w:val="0"/>
      <w:snapToGrid w:val="0"/>
      <w:spacing w:line="360" w:lineRule="auto"/>
      <w:ind w:firstLine="555"/>
    </w:pPr>
    <w:rPr>
      <w:sz w:val="21"/>
      <w:szCs w:val="24"/>
    </w:rPr>
  </w:style>
  <w:style w:type="character" w:customStyle="1" w:styleId="BodyTextIndentChar">
    <w:name w:val="Body Text Indent Char"/>
    <w:basedOn w:val="DefaultParagraphFont"/>
    <w:link w:val="BodyTextIndent"/>
    <w:uiPriority w:val="99"/>
    <w:locked/>
    <w:rsid w:val="001765F6"/>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8E139B"/>
    <w:rPr>
      <w:sz w:val="18"/>
      <w:szCs w:val="18"/>
    </w:rPr>
  </w:style>
  <w:style w:type="character" w:customStyle="1" w:styleId="BalloonTextChar">
    <w:name w:val="Balloon Text Char"/>
    <w:basedOn w:val="DefaultParagraphFont"/>
    <w:link w:val="BalloonText"/>
    <w:uiPriority w:val="99"/>
    <w:semiHidden/>
    <w:locked/>
    <w:rsid w:val="008E13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6</Pages>
  <Words>554</Words>
  <Characters>3162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谢丽</dc:creator>
  <cp:keywords/>
  <dc:description/>
  <cp:lastModifiedBy>杨国恩</cp:lastModifiedBy>
  <cp:revision>42</cp:revision>
  <cp:lastPrinted>2017-04-24T03:19:00Z</cp:lastPrinted>
  <dcterms:created xsi:type="dcterms:W3CDTF">2017-04-21T15:00:00Z</dcterms:created>
  <dcterms:modified xsi:type="dcterms:W3CDTF">2017-04-24T03:21:00Z</dcterms:modified>
</cp:coreProperties>
</file>