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04" w:line="600" w:lineRule="exact"/>
        <w:ind w:firstLine="763"/>
        <w:jc w:val="center"/>
        <w:rPr>
          <w:rFonts w:ascii="方正小标宋_GBK" w:hAnsi="宋体" w:eastAsia="方正小标宋_GBK"/>
          <w:spacing w:val="-20"/>
          <w:sz w:val="44"/>
          <w:szCs w:val="44"/>
        </w:rPr>
      </w:pPr>
      <w:bookmarkStart w:id="0" w:name="_GoBack"/>
      <w:bookmarkEnd w:id="0"/>
      <w:r>
        <w:rPr>
          <w:rFonts w:hint="eastAsia" w:ascii="方正小标宋_GBK" w:hAnsi="宋体" w:eastAsia="方正小标宋_GBK"/>
          <w:spacing w:val="-20"/>
          <w:sz w:val="44"/>
          <w:szCs w:val="44"/>
        </w:rPr>
        <w:t>湖南省大学生研究性学习和创新性实验计划</w:t>
      </w:r>
    </w:p>
    <w:p>
      <w:pPr>
        <w:snapToGrid w:val="0"/>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项　 目　 申　 报　 表</w:t>
      </w:r>
    </w:p>
    <w:p>
      <w:pPr>
        <w:snapToGrid w:val="0"/>
        <w:jc w:val="center"/>
        <w:rPr>
          <w:rFonts w:ascii="仿宋_GB2312" w:hAnsi="宋体" w:eastAsia="仿宋_GB2312"/>
        </w:rPr>
      </w:pPr>
    </w:p>
    <w:tbl>
      <w:tblPr>
        <w:tblStyle w:val="7"/>
        <w:tblW w:w="8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785"/>
        <w:gridCol w:w="671"/>
        <w:gridCol w:w="1115"/>
        <w:gridCol w:w="1071"/>
        <w:gridCol w:w="676"/>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663" w:type="dxa"/>
            <w:gridSpan w:val="7"/>
            <w:vAlign w:val="center"/>
          </w:tcPr>
          <w:p>
            <w:pPr>
              <w:snapToGrid w:val="0"/>
              <w:ind w:left="180"/>
              <w:rPr>
                <w:rFonts w:ascii="宋体" w:hAnsi="宋体"/>
                <w:sz w:val="24"/>
                <w:szCs w:val="24"/>
              </w:rPr>
            </w:pPr>
            <w:r>
              <w:rPr>
                <w:rFonts w:hint="eastAsia" w:ascii="宋体" w:hAnsi="宋体"/>
                <w:sz w:val="24"/>
                <w:szCs w:val="24"/>
              </w:rPr>
              <w:t>项目名称:</w:t>
            </w:r>
            <w:r>
              <w:rPr>
                <w:rFonts w:hint="eastAsia" w:ascii="宋体" w:hAnsi="宋体"/>
                <w:sz w:val="24"/>
              </w:rPr>
              <w:t>教育供给侧改革下促进湖南经济发展的高等教育对策研究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ascii="宋体" w:hAnsi="宋体"/>
                <w:sz w:val="24"/>
                <w:szCs w:val="24"/>
              </w:rPr>
            </w:pPr>
            <w:r>
              <w:rPr>
                <w:rFonts w:hint="eastAsia" w:ascii="宋体" w:hAnsi="宋体"/>
                <w:sz w:val="24"/>
                <w:szCs w:val="24"/>
              </w:rPr>
              <w:t>学校名称</w:t>
            </w:r>
          </w:p>
        </w:tc>
        <w:tc>
          <w:tcPr>
            <w:tcW w:w="7063" w:type="dxa"/>
            <w:gridSpan w:val="6"/>
            <w:vAlign w:val="center"/>
          </w:tcPr>
          <w:p>
            <w:pPr>
              <w:snapToGrid w:val="0"/>
              <w:rPr>
                <w:rFonts w:hint="eastAsia" w:ascii="宋体" w:hAnsi="宋体"/>
                <w:sz w:val="24"/>
                <w:szCs w:val="24"/>
                <w:lang w:eastAsia="zh-CN"/>
              </w:rPr>
            </w:pPr>
            <w:r>
              <w:rPr>
                <w:rFonts w:hint="eastAsia" w:ascii="宋体" w:hAnsi="宋体"/>
                <w:sz w:val="24"/>
                <w:szCs w:val="24"/>
                <w:lang w:eastAsia="zh-CN"/>
              </w:rPr>
              <w:t>中南林业科技大学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ascii="宋体" w:hAnsi="宋体"/>
                <w:sz w:val="24"/>
                <w:szCs w:val="24"/>
              </w:rPr>
            </w:pPr>
            <w:r>
              <w:rPr>
                <w:rFonts w:hint="eastAsia" w:ascii="宋体" w:hAnsi="宋体"/>
                <w:sz w:val="24"/>
                <w:szCs w:val="24"/>
              </w:rPr>
              <w:t>学生姓名</w:t>
            </w:r>
          </w:p>
        </w:tc>
        <w:tc>
          <w:tcPr>
            <w:tcW w:w="1785" w:type="dxa"/>
            <w:vAlign w:val="center"/>
          </w:tcPr>
          <w:p>
            <w:pPr>
              <w:snapToGrid w:val="0"/>
              <w:jc w:val="center"/>
              <w:rPr>
                <w:rFonts w:ascii="宋体" w:hAnsi="宋体"/>
                <w:sz w:val="24"/>
                <w:szCs w:val="24"/>
              </w:rPr>
            </w:pPr>
            <w:r>
              <w:rPr>
                <w:rFonts w:hint="eastAsia" w:ascii="宋体" w:hAnsi="宋体"/>
                <w:sz w:val="24"/>
                <w:szCs w:val="24"/>
              </w:rPr>
              <w:t>学  号</w:t>
            </w:r>
          </w:p>
        </w:tc>
        <w:tc>
          <w:tcPr>
            <w:tcW w:w="1786" w:type="dxa"/>
            <w:gridSpan w:val="2"/>
            <w:vAlign w:val="center"/>
          </w:tcPr>
          <w:p>
            <w:pPr>
              <w:snapToGrid w:val="0"/>
              <w:jc w:val="center"/>
              <w:rPr>
                <w:rFonts w:ascii="宋体" w:hAnsi="宋体"/>
                <w:sz w:val="24"/>
                <w:szCs w:val="24"/>
              </w:rPr>
            </w:pPr>
            <w:r>
              <w:rPr>
                <w:rFonts w:hint="eastAsia" w:ascii="宋体" w:hAnsi="宋体"/>
                <w:sz w:val="24"/>
                <w:szCs w:val="24"/>
              </w:rPr>
              <w:t>专      业</w:t>
            </w:r>
          </w:p>
        </w:tc>
        <w:tc>
          <w:tcPr>
            <w:tcW w:w="1071" w:type="dxa"/>
            <w:vAlign w:val="center"/>
          </w:tcPr>
          <w:p>
            <w:pPr>
              <w:snapToGrid w:val="0"/>
              <w:jc w:val="center"/>
              <w:rPr>
                <w:rFonts w:ascii="宋体" w:hAnsi="宋体"/>
                <w:sz w:val="24"/>
                <w:szCs w:val="24"/>
              </w:rPr>
            </w:pPr>
            <w:r>
              <w:rPr>
                <w:rFonts w:hint="eastAsia" w:ascii="宋体" w:hAnsi="宋体"/>
                <w:sz w:val="24"/>
                <w:szCs w:val="24"/>
              </w:rPr>
              <w:t>性 别</w:t>
            </w:r>
          </w:p>
        </w:tc>
        <w:tc>
          <w:tcPr>
            <w:tcW w:w="2421" w:type="dxa"/>
            <w:gridSpan w:val="2"/>
            <w:vAlign w:val="center"/>
          </w:tcPr>
          <w:p>
            <w:pPr>
              <w:snapToGrid w:val="0"/>
              <w:jc w:val="center"/>
              <w:rPr>
                <w:rFonts w:ascii="宋体" w:hAnsi="宋体"/>
                <w:sz w:val="24"/>
                <w:szCs w:val="24"/>
              </w:rPr>
            </w:pPr>
            <w:r>
              <w:rPr>
                <w:rFonts w:hint="eastAsia" w:ascii="宋体" w:hAnsi="宋体"/>
                <w:sz w:val="24"/>
                <w:szCs w:val="24"/>
              </w:rPr>
              <w:t>入 学 年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hint="eastAsia" w:ascii="宋体" w:hAnsi="宋体"/>
                <w:sz w:val="24"/>
                <w:szCs w:val="24"/>
                <w:lang w:eastAsia="zh-CN"/>
              </w:rPr>
            </w:pPr>
            <w:r>
              <w:rPr>
                <w:rFonts w:hint="eastAsia" w:ascii="宋体" w:hAnsi="宋体"/>
                <w:sz w:val="24"/>
                <w:szCs w:val="24"/>
                <w:lang w:eastAsia="zh-CN"/>
              </w:rPr>
              <w:t>唐佩仪</w:t>
            </w:r>
          </w:p>
        </w:tc>
        <w:tc>
          <w:tcPr>
            <w:tcW w:w="1785" w:type="dxa"/>
            <w:vAlign w:val="center"/>
          </w:tcPr>
          <w:p>
            <w:pPr>
              <w:snapToGrid w:val="0"/>
              <w:rPr>
                <w:rFonts w:hint="eastAsia" w:ascii="宋体" w:hAnsi="宋体"/>
                <w:sz w:val="24"/>
                <w:szCs w:val="24"/>
                <w:lang w:eastAsia="zh-CN"/>
              </w:rPr>
            </w:pPr>
            <w:r>
              <w:rPr>
                <w:rFonts w:hint="eastAsia" w:ascii="宋体" w:hAnsi="宋体"/>
                <w:sz w:val="24"/>
                <w:szCs w:val="24"/>
                <w:lang w:eastAsia="zh-CN"/>
              </w:rPr>
              <w:t>20145278</w:t>
            </w:r>
          </w:p>
        </w:tc>
        <w:tc>
          <w:tcPr>
            <w:tcW w:w="1786" w:type="dxa"/>
            <w:gridSpan w:val="2"/>
            <w:vAlign w:val="center"/>
          </w:tcPr>
          <w:p>
            <w:pPr>
              <w:snapToGrid w:val="0"/>
              <w:rPr>
                <w:rFonts w:hint="eastAsia" w:ascii="宋体" w:hAnsi="宋体"/>
                <w:sz w:val="24"/>
                <w:szCs w:val="24"/>
                <w:lang w:eastAsia="zh-CN"/>
              </w:rPr>
            </w:pPr>
            <w:r>
              <w:rPr>
                <w:rFonts w:hint="eastAsia" w:ascii="宋体" w:hAnsi="宋体"/>
                <w:sz w:val="24"/>
                <w:szCs w:val="24"/>
                <w:lang w:eastAsia="zh-CN"/>
              </w:rPr>
              <w:t>金融学</w:t>
            </w:r>
          </w:p>
        </w:tc>
        <w:tc>
          <w:tcPr>
            <w:tcW w:w="1071" w:type="dxa"/>
            <w:vAlign w:val="center"/>
          </w:tcPr>
          <w:p>
            <w:pPr>
              <w:snapToGrid w:val="0"/>
              <w:rPr>
                <w:rFonts w:hint="eastAsia" w:ascii="宋体" w:hAnsi="宋体"/>
                <w:sz w:val="24"/>
                <w:szCs w:val="24"/>
                <w:lang w:eastAsia="zh-CN"/>
              </w:rPr>
            </w:pPr>
            <w:r>
              <w:rPr>
                <w:rFonts w:hint="eastAsia" w:ascii="宋体" w:hAnsi="宋体"/>
                <w:sz w:val="24"/>
                <w:szCs w:val="24"/>
                <w:lang w:eastAsia="zh-CN"/>
              </w:rPr>
              <w:t>女</w:t>
            </w:r>
          </w:p>
        </w:tc>
        <w:tc>
          <w:tcPr>
            <w:tcW w:w="2421" w:type="dxa"/>
            <w:gridSpan w:val="2"/>
            <w:vAlign w:val="center"/>
          </w:tcPr>
          <w:p>
            <w:pPr>
              <w:snapToGrid w:val="0"/>
              <w:ind w:left="864"/>
              <w:rPr>
                <w:rFonts w:hint="eastAsia" w:ascii="宋体" w:hAnsi="宋体"/>
                <w:sz w:val="24"/>
                <w:szCs w:val="24"/>
                <w:lang w:eastAsia="zh-CN"/>
              </w:rPr>
            </w:pPr>
            <w:r>
              <w:rPr>
                <w:rFonts w:hint="eastAsia" w:ascii="宋体" w:hAnsi="宋体"/>
                <w:sz w:val="24"/>
                <w:szCs w:val="24"/>
                <w:lang w:eastAsia="zh-CN"/>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hint="eastAsia" w:ascii="宋体" w:hAnsi="宋体"/>
                <w:sz w:val="24"/>
                <w:szCs w:val="24"/>
                <w:lang w:eastAsia="zh-CN"/>
              </w:rPr>
            </w:pPr>
            <w:r>
              <w:rPr>
                <w:rFonts w:hint="eastAsia" w:ascii="宋体" w:hAnsi="宋体"/>
                <w:sz w:val="24"/>
                <w:szCs w:val="24"/>
                <w:lang w:eastAsia="zh-CN"/>
              </w:rPr>
              <w:t>吴家成</w:t>
            </w:r>
          </w:p>
        </w:tc>
        <w:tc>
          <w:tcPr>
            <w:tcW w:w="1785" w:type="dxa"/>
            <w:vAlign w:val="center"/>
          </w:tcPr>
          <w:p>
            <w:pPr>
              <w:snapToGrid w:val="0"/>
              <w:rPr>
                <w:rFonts w:hint="eastAsia" w:ascii="宋体" w:hAnsi="宋体"/>
                <w:sz w:val="24"/>
                <w:szCs w:val="24"/>
                <w:lang w:eastAsia="zh-CN"/>
              </w:rPr>
            </w:pPr>
            <w:r>
              <w:rPr>
                <w:rFonts w:hint="eastAsia" w:ascii="宋体" w:hAnsi="宋体"/>
                <w:sz w:val="24"/>
                <w:szCs w:val="24"/>
                <w:lang w:eastAsia="zh-CN"/>
              </w:rPr>
              <w:t>20144157</w:t>
            </w:r>
          </w:p>
        </w:tc>
        <w:tc>
          <w:tcPr>
            <w:tcW w:w="1786" w:type="dxa"/>
            <w:gridSpan w:val="2"/>
            <w:vAlign w:val="center"/>
          </w:tcPr>
          <w:p>
            <w:pPr>
              <w:snapToGrid w:val="0"/>
              <w:rPr>
                <w:rFonts w:hint="eastAsia" w:ascii="宋体" w:hAnsi="宋体"/>
                <w:sz w:val="24"/>
                <w:szCs w:val="24"/>
                <w:lang w:eastAsia="zh-CN"/>
              </w:rPr>
            </w:pPr>
            <w:r>
              <w:rPr>
                <w:rFonts w:hint="eastAsia" w:ascii="宋体" w:hAnsi="宋体"/>
                <w:sz w:val="24"/>
                <w:szCs w:val="24"/>
                <w:lang w:eastAsia="zh-CN"/>
              </w:rPr>
              <w:t>金融学</w:t>
            </w:r>
          </w:p>
        </w:tc>
        <w:tc>
          <w:tcPr>
            <w:tcW w:w="1071" w:type="dxa"/>
            <w:vAlign w:val="center"/>
          </w:tcPr>
          <w:p>
            <w:pPr>
              <w:snapToGrid w:val="0"/>
              <w:rPr>
                <w:rFonts w:hint="eastAsia" w:ascii="宋体" w:hAnsi="宋体"/>
                <w:sz w:val="24"/>
                <w:szCs w:val="24"/>
                <w:lang w:eastAsia="zh-CN"/>
              </w:rPr>
            </w:pPr>
            <w:r>
              <w:rPr>
                <w:rFonts w:hint="eastAsia" w:ascii="宋体" w:hAnsi="宋体"/>
                <w:sz w:val="24"/>
                <w:szCs w:val="24"/>
                <w:lang w:eastAsia="zh-CN"/>
              </w:rPr>
              <w:t>男</w:t>
            </w:r>
          </w:p>
        </w:tc>
        <w:tc>
          <w:tcPr>
            <w:tcW w:w="2421" w:type="dxa"/>
            <w:gridSpan w:val="2"/>
            <w:vAlign w:val="center"/>
          </w:tcPr>
          <w:p>
            <w:pPr>
              <w:snapToGrid w:val="0"/>
              <w:ind w:left="864"/>
              <w:rPr>
                <w:rFonts w:hint="eastAsia" w:ascii="宋体" w:hAnsi="宋体"/>
                <w:sz w:val="24"/>
                <w:szCs w:val="24"/>
                <w:lang w:eastAsia="zh-CN"/>
              </w:rPr>
            </w:pPr>
            <w:r>
              <w:rPr>
                <w:rFonts w:hint="eastAsia" w:ascii="宋体" w:hAnsi="宋体"/>
                <w:sz w:val="24"/>
                <w:szCs w:val="24"/>
                <w:lang w:eastAsia="zh-CN"/>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ascii="宋体" w:hAnsi="宋体"/>
                <w:sz w:val="24"/>
                <w:szCs w:val="24"/>
              </w:rPr>
            </w:pPr>
            <w:r>
              <w:rPr>
                <w:rFonts w:hint="eastAsia" w:ascii="宋体" w:hAnsi="宋体"/>
                <w:sz w:val="24"/>
                <w:szCs w:val="24"/>
              </w:rPr>
              <w:t>指导教师</w:t>
            </w:r>
          </w:p>
        </w:tc>
        <w:tc>
          <w:tcPr>
            <w:tcW w:w="2456" w:type="dxa"/>
            <w:gridSpan w:val="2"/>
            <w:vAlign w:val="center"/>
          </w:tcPr>
          <w:p>
            <w:pPr>
              <w:snapToGrid w:val="0"/>
              <w:jc w:val="center"/>
              <w:rPr>
                <w:rFonts w:hint="eastAsia" w:ascii="宋体" w:hAnsi="宋体"/>
                <w:sz w:val="24"/>
                <w:szCs w:val="24"/>
                <w:lang w:eastAsia="zh-CN"/>
              </w:rPr>
            </w:pPr>
            <w:r>
              <w:rPr>
                <w:rFonts w:hint="eastAsia" w:ascii="宋体" w:hAnsi="宋体"/>
                <w:sz w:val="24"/>
                <w:szCs w:val="24"/>
                <w:lang w:eastAsia="zh-CN"/>
              </w:rPr>
              <w:t>王建军</w:t>
            </w:r>
          </w:p>
        </w:tc>
        <w:tc>
          <w:tcPr>
            <w:tcW w:w="1115" w:type="dxa"/>
            <w:vAlign w:val="center"/>
          </w:tcPr>
          <w:p>
            <w:pPr>
              <w:snapToGrid w:val="0"/>
              <w:jc w:val="center"/>
              <w:rPr>
                <w:rFonts w:ascii="宋体" w:hAnsi="宋体"/>
                <w:sz w:val="24"/>
                <w:szCs w:val="24"/>
              </w:rPr>
            </w:pPr>
            <w:r>
              <w:rPr>
                <w:rFonts w:hint="eastAsia" w:ascii="宋体" w:hAnsi="宋体"/>
                <w:sz w:val="24"/>
                <w:szCs w:val="24"/>
              </w:rPr>
              <w:t>职称</w:t>
            </w:r>
          </w:p>
        </w:tc>
        <w:tc>
          <w:tcPr>
            <w:tcW w:w="3492" w:type="dxa"/>
            <w:gridSpan w:val="3"/>
            <w:vAlign w:val="center"/>
          </w:tcPr>
          <w:p>
            <w:pPr>
              <w:snapToGrid w:val="0"/>
              <w:jc w:val="center"/>
              <w:rPr>
                <w:rFonts w:hint="eastAsia" w:ascii="宋体" w:hAnsi="宋体"/>
                <w:sz w:val="24"/>
                <w:szCs w:val="24"/>
                <w:lang w:eastAsia="zh-CN"/>
              </w:rPr>
            </w:pPr>
            <w:r>
              <w:rPr>
                <w:rFonts w:hint="eastAsia" w:ascii="宋体" w:hAnsi="宋体"/>
                <w:sz w:val="24"/>
                <w:szCs w:val="24"/>
                <w:lang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jc w:val="center"/>
              <w:rPr>
                <w:rFonts w:ascii="宋体" w:hAnsi="宋体"/>
                <w:sz w:val="24"/>
                <w:szCs w:val="24"/>
              </w:rPr>
            </w:pPr>
            <w:r>
              <w:rPr>
                <w:rFonts w:hint="eastAsia" w:ascii="宋体" w:hAnsi="宋体"/>
                <w:sz w:val="24"/>
                <w:szCs w:val="24"/>
              </w:rPr>
              <w:t>项目所属</w:t>
            </w:r>
          </w:p>
          <w:p>
            <w:pPr>
              <w:snapToGrid w:val="0"/>
              <w:ind w:left="180"/>
              <w:rPr>
                <w:rFonts w:ascii="宋体" w:hAnsi="宋体"/>
                <w:sz w:val="24"/>
                <w:szCs w:val="24"/>
              </w:rPr>
            </w:pPr>
            <w:r>
              <w:rPr>
                <w:rFonts w:hint="eastAsia" w:ascii="宋体" w:hAnsi="宋体"/>
                <w:sz w:val="24"/>
                <w:szCs w:val="24"/>
              </w:rPr>
              <w:t>一级学科</w:t>
            </w:r>
          </w:p>
        </w:tc>
        <w:tc>
          <w:tcPr>
            <w:tcW w:w="2456" w:type="dxa"/>
            <w:gridSpan w:val="2"/>
            <w:vAlign w:val="center"/>
          </w:tcPr>
          <w:p>
            <w:pPr>
              <w:snapToGrid w:val="0"/>
              <w:jc w:val="center"/>
              <w:rPr>
                <w:rFonts w:hint="eastAsia" w:ascii="宋体" w:hAnsi="宋体"/>
                <w:sz w:val="24"/>
                <w:szCs w:val="24"/>
                <w:lang w:val="en-US" w:eastAsia="zh-CN"/>
              </w:rPr>
            </w:pPr>
            <w:r>
              <w:rPr>
                <w:rFonts w:hint="eastAsia" w:ascii="宋体" w:hAnsi="宋体"/>
                <w:sz w:val="24"/>
                <w:szCs w:val="24"/>
                <w:lang w:val="en-US" w:eastAsia="zh-CN"/>
              </w:rPr>
              <w:t>790</w:t>
            </w:r>
          </w:p>
        </w:tc>
        <w:tc>
          <w:tcPr>
            <w:tcW w:w="2862" w:type="dxa"/>
            <w:gridSpan w:val="3"/>
            <w:vAlign w:val="center"/>
          </w:tcPr>
          <w:p>
            <w:pPr>
              <w:snapToGrid w:val="0"/>
              <w:ind w:left="180"/>
              <w:rPr>
                <w:rFonts w:ascii="宋体" w:hAnsi="宋体"/>
                <w:sz w:val="24"/>
                <w:szCs w:val="24"/>
              </w:rPr>
            </w:pPr>
            <w:r>
              <w:rPr>
                <w:rFonts w:hint="eastAsia" w:ascii="宋体" w:hAnsi="宋体"/>
                <w:sz w:val="24"/>
                <w:szCs w:val="24"/>
              </w:rPr>
              <w:t>项目科类(理科/文科)</w:t>
            </w:r>
          </w:p>
        </w:tc>
        <w:tc>
          <w:tcPr>
            <w:tcW w:w="1745" w:type="dxa"/>
            <w:vAlign w:val="center"/>
          </w:tcPr>
          <w:p>
            <w:pPr>
              <w:snapToGrid w:val="0"/>
              <w:ind w:left="0" w:leftChars="0" w:firstLine="0" w:firstLineChars="0"/>
              <w:jc w:val="center"/>
              <w:rPr>
                <w:rFonts w:hint="eastAsia" w:ascii="宋体" w:hAnsi="宋体"/>
                <w:sz w:val="24"/>
                <w:szCs w:val="24"/>
                <w:lang w:eastAsia="zh-CN"/>
              </w:rPr>
            </w:pPr>
            <w:r>
              <w:rPr>
                <w:rFonts w:hint="eastAsia" w:ascii="宋体" w:hAnsi="宋体"/>
                <w:sz w:val="24"/>
                <w:szCs w:val="24"/>
                <w:lang w:eastAsia="zh-CN"/>
              </w:rPr>
              <w:t>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trPr>
        <w:tc>
          <w:tcPr>
            <w:tcW w:w="8663" w:type="dxa"/>
            <w:gridSpan w:val="7"/>
          </w:tcPr>
          <w:p>
            <w:pPr>
              <w:keepNext w:val="0"/>
              <w:keepLines w:val="0"/>
              <w:pageBreakBefore w:val="0"/>
              <w:kinsoku/>
              <w:wordWrap/>
              <w:overflowPunct/>
              <w:topLinePunct w:val="0"/>
              <w:autoSpaceDE/>
              <w:autoSpaceDN/>
              <w:bidi w:val="0"/>
              <w:adjustRightInd/>
              <w:snapToGrid w:val="0"/>
              <w:spacing w:beforeLines="0" w:line="360" w:lineRule="auto"/>
              <w:ind w:right="0" w:rightChars="0"/>
              <w:textAlignment w:val="auto"/>
              <w:outlineLvl w:val="9"/>
              <w:rPr>
                <w:rFonts w:hint="eastAsia" w:ascii="宋体" w:hAnsi="宋体"/>
                <w:sz w:val="24"/>
                <w:szCs w:val="24"/>
              </w:rPr>
            </w:pPr>
            <w:r>
              <w:rPr>
                <w:rFonts w:hint="eastAsia" w:ascii="宋体" w:hAnsi="宋体"/>
                <w:sz w:val="24"/>
                <w:szCs w:val="24"/>
              </w:rPr>
              <w:t>学生曾经参与科研的情况</w:t>
            </w:r>
          </w:p>
          <w:p>
            <w:pPr>
              <w:keepNext w:val="0"/>
              <w:keepLines w:val="0"/>
              <w:pageBreakBefore w:val="0"/>
              <w:widowControl/>
              <w:numPr>
                <w:ilvl w:val="0"/>
                <w:numId w:val="1"/>
              </w:numPr>
              <w:kinsoku/>
              <w:wordWrap/>
              <w:overflowPunct/>
              <w:topLinePunct w:val="0"/>
              <w:autoSpaceDE/>
              <w:autoSpaceDN/>
              <w:bidi w:val="0"/>
              <w:adjustRightInd/>
              <w:spacing w:beforeLines="0" w:line="360" w:lineRule="auto"/>
              <w:ind w:right="0" w:rightChars="0"/>
              <w:jc w:val="left"/>
              <w:textAlignment w:val="auto"/>
              <w:outlineLvl w:val="9"/>
              <w:rPr>
                <w:rFonts w:hint="eastAsia" w:ascii="仿宋" w:hAnsi="仿宋" w:eastAsia="仿宋" w:cs="仿宋"/>
                <w:sz w:val="24"/>
              </w:rPr>
            </w:pPr>
            <w:r>
              <w:rPr>
                <w:rFonts w:hint="eastAsia" w:ascii="仿宋" w:hAnsi="仿宋" w:eastAsia="仿宋" w:cs="仿宋"/>
                <w:sz w:val="24"/>
              </w:rPr>
              <w:t>曾在《经济管理》期刊发表学术性论文《农村金融在扶贫中的问题研究》；</w:t>
            </w:r>
          </w:p>
          <w:p>
            <w:pPr>
              <w:keepNext w:val="0"/>
              <w:keepLines w:val="0"/>
              <w:pageBreakBefore w:val="0"/>
              <w:widowControl/>
              <w:numPr>
                <w:ilvl w:val="0"/>
                <w:numId w:val="1"/>
              </w:numPr>
              <w:kinsoku/>
              <w:wordWrap/>
              <w:overflowPunct/>
              <w:topLinePunct w:val="0"/>
              <w:autoSpaceDE/>
              <w:autoSpaceDN/>
              <w:bidi w:val="0"/>
              <w:adjustRightInd/>
              <w:spacing w:beforeLines="0" w:line="360" w:lineRule="auto"/>
              <w:ind w:right="0" w:rightChars="0"/>
              <w:jc w:val="left"/>
              <w:textAlignment w:val="auto"/>
              <w:outlineLvl w:val="9"/>
              <w:rPr>
                <w:rFonts w:hint="eastAsia" w:ascii="仿宋" w:hAnsi="仿宋" w:eastAsia="仿宋"/>
                <w:sz w:val="24"/>
              </w:rPr>
            </w:pPr>
            <w:r>
              <w:rPr>
                <w:rFonts w:hint="eastAsia" w:ascii="仿宋" w:hAnsi="仿宋" w:eastAsia="仿宋"/>
                <w:sz w:val="24"/>
              </w:rPr>
              <w:t>从大二开始，在指导老师的指导下，研读了大量经济学方面的著作和文献；</w:t>
            </w:r>
          </w:p>
          <w:p>
            <w:pPr>
              <w:keepNext w:val="0"/>
              <w:keepLines w:val="0"/>
              <w:pageBreakBefore w:val="0"/>
              <w:kinsoku/>
              <w:wordWrap/>
              <w:overflowPunct/>
              <w:topLinePunct w:val="0"/>
              <w:autoSpaceDE/>
              <w:autoSpaceDN/>
              <w:bidi w:val="0"/>
              <w:adjustRightInd/>
              <w:snapToGrid w:val="0"/>
              <w:spacing w:beforeLines="0" w:line="360" w:lineRule="auto"/>
              <w:ind w:left="181" w:right="0" w:rightChars="0"/>
              <w:textAlignment w:val="auto"/>
              <w:outlineLvl w:val="9"/>
              <w:rPr>
                <w:rFonts w:ascii="宋体" w:hAnsi="宋体"/>
                <w:sz w:val="24"/>
                <w:szCs w:val="24"/>
              </w:rPr>
            </w:pPr>
            <w:r>
              <w:rPr>
                <w:rFonts w:hint="eastAsia" w:ascii="仿宋" w:hAnsi="仿宋" w:eastAsia="仿宋"/>
                <w:sz w:val="24"/>
              </w:rPr>
              <w:t>一直协助指导老师做课题，包括查阅资料、收集数据以及下农村调研。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 w:hRule="atLeast"/>
        </w:trPr>
        <w:tc>
          <w:tcPr>
            <w:tcW w:w="8663" w:type="dxa"/>
            <w:gridSpan w:val="7"/>
          </w:tcPr>
          <w:p>
            <w:pPr>
              <w:keepNext w:val="0"/>
              <w:keepLines w:val="0"/>
              <w:pageBreakBefore w:val="0"/>
              <w:widowControl w:val="0"/>
              <w:kinsoku/>
              <w:wordWrap/>
              <w:overflowPunct/>
              <w:topLinePunct w:val="0"/>
              <w:autoSpaceDE/>
              <w:autoSpaceDN/>
              <w:bidi w:val="0"/>
              <w:adjustRightInd/>
              <w:snapToGrid w:val="0"/>
              <w:spacing w:beforeLines="0" w:line="360" w:lineRule="auto"/>
              <w:ind w:left="0" w:leftChars="0" w:right="0" w:rightChars="0" w:firstLine="0" w:firstLineChars="0"/>
              <w:jc w:val="both"/>
              <w:textAlignment w:val="auto"/>
              <w:outlineLvl w:val="9"/>
              <w:rPr>
                <w:rFonts w:hint="eastAsia" w:ascii="宋体" w:hAnsi="宋体"/>
                <w:sz w:val="24"/>
              </w:rPr>
            </w:pPr>
            <w:r>
              <w:rPr>
                <w:rFonts w:hint="eastAsia" w:ascii="宋体" w:hAnsi="宋体"/>
                <w:sz w:val="24"/>
                <w:szCs w:val="24"/>
              </w:rPr>
              <w:t>指导教师承担科研课题情况</w:t>
            </w:r>
          </w:p>
          <w:p>
            <w:pPr>
              <w:keepNext w:val="0"/>
              <w:keepLines w:val="0"/>
              <w:pageBreakBefore w:val="0"/>
              <w:widowControl w:val="0"/>
              <w:kinsoku/>
              <w:wordWrap/>
              <w:overflowPunct/>
              <w:topLinePunct w:val="0"/>
              <w:autoSpaceDE/>
              <w:autoSpaceDN/>
              <w:bidi w:val="0"/>
              <w:adjustRightInd/>
              <w:snapToGrid w:val="0"/>
              <w:spacing w:beforeLines="0" w:line="360" w:lineRule="auto"/>
              <w:ind w:left="0" w:leftChars="0" w:right="0" w:rightChars="0" w:firstLine="0" w:firstLineChars="0"/>
              <w:jc w:val="both"/>
              <w:textAlignment w:val="auto"/>
              <w:outlineLvl w:val="9"/>
              <w:rPr>
                <w:rFonts w:ascii="仿宋" w:hAnsi="仿宋" w:eastAsia="仿宋" w:cs="宋体"/>
                <w:sz w:val="24"/>
                <w:lang w:bidi="ar"/>
              </w:rPr>
            </w:pPr>
            <w:r>
              <w:rPr>
                <w:rFonts w:hint="eastAsia" w:ascii="仿宋" w:hAnsi="仿宋" w:eastAsia="仿宋" w:cs="宋体"/>
                <w:sz w:val="24"/>
                <w:lang w:bidi="ar"/>
              </w:rPr>
              <w:t>1.中南林业科技大学校青年基金课题《新农村建设的财政金融支持政策研究》</w:t>
            </w:r>
          </w:p>
          <w:p>
            <w:pPr>
              <w:keepNext w:val="0"/>
              <w:keepLines w:val="0"/>
              <w:pageBreakBefore w:val="0"/>
              <w:widowControl w:val="0"/>
              <w:kinsoku/>
              <w:wordWrap/>
              <w:overflowPunct/>
              <w:topLinePunct w:val="0"/>
              <w:autoSpaceDE/>
              <w:autoSpaceDN/>
              <w:bidi w:val="0"/>
              <w:adjustRightInd/>
              <w:snapToGrid w:val="0"/>
              <w:spacing w:beforeLines="0" w:line="360" w:lineRule="auto"/>
              <w:ind w:left="0" w:leftChars="0" w:right="0" w:rightChars="0" w:firstLine="0" w:firstLineChars="0"/>
              <w:jc w:val="both"/>
              <w:textAlignment w:val="auto"/>
              <w:outlineLvl w:val="9"/>
              <w:rPr>
                <w:rFonts w:hint="eastAsia" w:ascii="仿宋" w:hAnsi="仿宋" w:eastAsia="仿宋" w:cs="宋体"/>
                <w:sz w:val="24"/>
                <w:lang w:bidi="ar"/>
              </w:rPr>
            </w:pPr>
            <w:r>
              <w:rPr>
                <w:rFonts w:hint="eastAsia" w:ascii="仿宋" w:hAnsi="仿宋" w:eastAsia="仿宋" w:cs="宋体"/>
                <w:sz w:val="24"/>
                <w:lang w:bidi="ar"/>
              </w:rPr>
              <w:t>2.湖南省民族宗教事务委员会课题《</w:t>
            </w:r>
            <w:r>
              <w:rPr>
                <w:rFonts w:hint="eastAsia" w:ascii="仿宋" w:hAnsi="仿宋" w:eastAsia="仿宋" w:cs="宋体"/>
                <w:bCs/>
                <w:sz w:val="24"/>
                <w:lang w:bidi="ar"/>
              </w:rPr>
              <w:t>基于可持续发展视角下的武陵山片区资源开发与少数民族利益保护研究</w:t>
            </w:r>
            <w:r>
              <w:rPr>
                <w:rFonts w:hint="eastAsia" w:ascii="仿宋" w:hAnsi="仿宋" w:eastAsia="仿宋" w:cs="宋体"/>
                <w:sz w:val="24"/>
                <w:lang w:bidi="ar"/>
              </w:rPr>
              <w:t>》</w:t>
            </w:r>
          </w:p>
          <w:p>
            <w:pPr>
              <w:keepNext w:val="0"/>
              <w:keepLines w:val="0"/>
              <w:pageBreakBefore w:val="0"/>
              <w:widowControl w:val="0"/>
              <w:kinsoku/>
              <w:wordWrap/>
              <w:overflowPunct/>
              <w:topLinePunct w:val="0"/>
              <w:autoSpaceDE/>
              <w:autoSpaceDN/>
              <w:bidi w:val="0"/>
              <w:adjustRightInd/>
              <w:snapToGrid w:val="0"/>
              <w:spacing w:beforeLines="0" w:line="360" w:lineRule="auto"/>
              <w:ind w:left="0" w:leftChars="0" w:right="0" w:rightChars="0" w:firstLine="0" w:firstLineChars="0"/>
              <w:jc w:val="both"/>
              <w:textAlignment w:val="auto"/>
              <w:outlineLvl w:val="9"/>
              <w:rPr>
                <w:rFonts w:hint="eastAsia" w:ascii="仿宋" w:hAnsi="仿宋" w:eastAsia="仿宋" w:cs="宋体"/>
                <w:sz w:val="24"/>
                <w:lang w:bidi="ar"/>
              </w:rPr>
            </w:pPr>
            <w:r>
              <w:rPr>
                <w:rFonts w:hint="eastAsia" w:ascii="仿宋" w:hAnsi="仿宋" w:eastAsia="仿宋" w:cs="宋体"/>
                <w:sz w:val="24"/>
                <w:lang w:bidi="ar"/>
              </w:rPr>
              <w:t>3.湖南省教育厅科学重点研究项目 《供给侧结构性改革下的“精准脱贫”制约因素多因子变量模型构建与对策研究》</w:t>
            </w:r>
          </w:p>
          <w:p>
            <w:pPr>
              <w:keepNext w:val="0"/>
              <w:keepLines w:val="0"/>
              <w:pageBreakBefore w:val="0"/>
              <w:widowControl w:val="0"/>
              <w:kinsoku/>
              <w:wordWrap/>
              <w:overflowPunct/>
              <w:topLinePunct w:val="0"/>
              <w:autoSpaceDE/>
              <w:autoSpaceDN/>
              <w:bidi w:val="0"/>
              <w:adjustRightInd/>
              <w:snapToGrid w:val="0"/>
              <w:spacing w:beforeLines="0" w:line="360" w:lineRule="auto"/>
              <w:ind w:left="0" w:leftChars="0" w:right="0" w:rightChars="0" w:firstLine="0" w:firstLineChars="0"/>
              <w:jc w:val="both"/>
              <w:textAlignment w:val="auto"/>
              <w:outlineLvl w:val="9"/>
              <w:rPr>
                <w:rFonts w:hint="eastAsia" w:ascii="宋体" w:hAnsi="宋体"/>
                <w:sz w:val="24"/>
                <w:szCs w:val="24"/>
              </w:rPr>
            </w:pPr>
            <w:r>
              <w:rPr>
                <w:rFonts w:hint="eastAsia" w:ascii="仿宋" w:hAnsi="仿宋" w:eastAsia="仿宋" w:cs="宋体"/>
                <w:sz w:val="24"/>
                <w:lang w:bidi="ar"/>
              </w:rPr>
              <w:t>4.</w:t>
            </w:r>
            <w:r>
              <w:rPr>
                <w:rFonts w:hint="eastAsia" w:ascii="仿宋" w:hAnsi="仿宋" w:eastAsia="仿宋"/>
                <w:sz w:val="24"/>
              </w:rPr>
              <w:t>中南林业科技大学国家社科基金预研课题《</w:t>
            </w:r>
            <w:r>
              <w:rPr>
                <w:rFonts w:hint="eastAsia" w:ascii="仿宋" w:hAnsi="仿宋" w:eastAsia="仿宋" w:cs="宋体"/>
                <w:sz w:val="24"/>
                <w:lang w:bidi="ar"/>
              </w:rPr>
              <w:t>绿色发展理念下的“精准扶贫”动态衍生障碍与绿色脱贫内生机制研究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4" w:hRule="atLeast"/>
        </w:trPr>
        <w:tc>
          <w:tcPr>
            <w:tcW w:w="8663"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beforeLines="0" w:line="360" w:lineRule="auto"/>
              <w:ind w:left="0" w:leftChars="0" w:right="0" w:rightChars="0" w:firstLine="0" w:firstLineChars="0"/>
              <w:jc w:val="both"/>
              <w:textAlignment w:val="auto"/>
              <w:outlineLvl w:val="9"/>
              <w:rPr>
                <w:rFonts w:hint="eastAsia" w:ascii="宋体" w:hAnsi="宋体"/>
                <w:sz w:val="24"/>
              </w:rPr>
            </w:pPr>
            <w:r>
              <w:rPr>
                <w:rFonts w:hint="eastAsia" w:ascii="宋体" w:hAnsi="宋体"/>
                <w:sz w:val="24"/>
                <w:szCs w:val="24"/>
              </w:rPr>
              <w:t>项目研究和实验的目的、内容和要解决的主要问题</w:t>
            </w:r>
          </w:p>
          <w:p>
            <w:pPr>
              <w:keepNext w:val="0"/>
              <w:keepLines w:val="0"/>
              <w:pageBreakBefore w:val="0"/>
              <w:widowControl w:val="0"/>
              <w:kinsoku/>
              <w:wordWrap/>
              <w:overflowPunct/>
              <w:topLinePunct w:val="0"/>
              <w:autoSpaceDE/>
              <w:autoSpaceDN/>
              <w:bidi w:val="0"/>
              <w:adjustRightIn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仿宋" w:hAnsi="仿宋" w:eastAsia="仿宋" w:cs="仿宋"/>
                <w:sz w:val="24"/>
              </w:rPr>
              <w:t>核心概念界定：供给侧结构性改革原本是经济术语，指的是从提高供给质量出发，用改革的办法推进结构调整，矫正要素配置扭曲，扩大有效供给，提高供给结构对需求变化的适应性和灵活性，提高全要素生产率，更好地满足广大人民群众的需要，促进经济社会持续健康发展。教育供给侧改革的核心是扩大优质教育资源供给，优化教育资源配置，给受教育者提供更多、更好的教育选择。</w:t>
            </w:r>
          </w:p>
          <w:p>
            <w:pPr>
              <w:keepNext w:val="0"/>
              <w:keepLines w:val="0"/>
              <w:pageBreakBefore w:val="0"/>
              <w:widowControl w:val="0"/>
              <w:kinsoku/>
              <w:wordWrap/>
              <w:overflowPunct/>
              <w:topLinePunct w:val="0"/>
              <w:autoSpaceDE/>
              <w:autoSpaceDN/>
              <w:bidi w:val="0"/>
              <w:adjustRightIn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仿宋" w:hAnsi="仿宋" w:eastAsia="仿宋" w:cs="仿宋"/>
                <w:sz w:val="24"/>
              </w:rPr>
              <w:t>选题背景：随着经济的高速发展和教育供给侧改革的不断深入，明确了教育改革的方向，即扩大优质教育资源供给，优化教育资源配置结构。教育供给侧改革不仅能促进教育的基本公平和均衡发展，还能提高教育的水平和质量，为投入社会打下基础。在经济社会发展取得巨大进步，经济升级、产业转型的时候，我们发现，中国的高等教育结构出现不合理现象。这个不合理就表现在培养理论型、学术型人才的学校比较多，培养技术、技能型人才的学校比较少，也就是同质化的现象比较严重，长期倾向培养学术型的人才而忽略了具有职业技能人才的培养。</w:t>
            </w:r>
          </w:p>
          <w:p>
            <w:pPr>
              <w:keepNext w:val="0"/>
              <w:keepLines w:val="0"/>
              <w:pageBreakBefore w:val="0"/>
              <w:widowControl w:val="0"/>
              <w:kinsoku/>
              <w:wordWrap/>
              <w:overflowPunct/>
              <w:topLinePunct w:val="0"/>
              <w:autoSpaceDE/>
              <w:autoSpaceDN/>
              <w:bidi w:val="0"/>
              <w:adjustRightInd/>
              <w:spacing w:beforeLines="0" w:line="360" w:lineRule="auto"/>
              <w:ind w:left="0" w:leftChars="0" w:right="0" w:rightChars="0" w:firstLine="0" w:firstLineChars="0"/>
              <w:jc w:val="both"/>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仿宋" w:hAnsi="仿宋" w:eastAsia="仿宋" w:cs="仿宋"/>
                <w:sz w:val="24"/>
              </w:rPr>
              <w:t>研究目的：当前社会对专一性人才和多样性人才的需求决定了高校对学生的培养方向，但学生素质能力没有达到社会对人才的要求，体现在应届毕业生每年面对的就业难问题。一方面人才市场密度大，大量学生找工作十分困难；另一方面用人企业又招人难，无法找到需要的人才。这种尴尬的矛盾性正是由于不合理的教育供给配置所导致的。在教育供给侧改革下，高校亟需作出相对应的教学政策上与方式上的改革，以满足社会对人才的需求。本课题研究的目的，就是通过对高校教育新课程改革的基本现状、改革的目标、结构、内容、教学方式等的深入研究，更新旧的教育观念，改革旧的教育实习管理运行模式，在借鉴当前国内外实习研究与实践成果的基础上，完善高校教育课程改革新模式，切实提高高校生的素质与能力，为我省高校教育改革与发展提供一种有益的借鉴。</w:t>
            </w:r>
          </w:p>
          <w:p>
            <w:pPr>
              <w:keepNext w:val="0"/>
              <w:keepLines w:val="0"/>
              <w:pageBreakBefore w:val="0"/>
              <w:widowControl w:val="0"/>
              <w:kinsoku/>
              <w:wordWrap/>
              <w:overflowPunct/>
              <w:topLinePunct w:val="0"/>
              <w:autoSpaceDE/>
              <w:autoSpaceDN/>
              <w:bidi w:val="0"/>
              <w:adjustRightIn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仿宋" w:hAnsi="仿宋" w:eastAsia="仿宋" w:cs="仿宋"/>
                <w:sz w:val="24"/>
              </w:rPr>
              <w:t>主要内容：（1）当前高校教育方式和政策上改革的基本情况；（2）新改革对高校的教育提出的新挑战；（3）国内外的高校教育模式对比研究；（4）高校教育供给侧改革的必要性和可行性研究；（5）高校教育对供给侧改革的对策研究；（6）对比高校教育改革前后的质量评价研究</w:t>
            </w:r>
          </w:p>
          <w:p>
            <w:pPr>
              <w:keepNext w:val="0"/>
              <w:keepLines w:val="0"/>
              <w:pageBreakBefore w:val="0"/>
              <w:widowControl w:val="0"/>
              <w:kinsoku/>
              <w:wordWrap/>
              <w:overflowPunct/>
              <w:topLinePunct w:val="0"/>
              <w:autoSpaceDE/>
              <w:autoSpaceDN/>
              <w:bidi w:val="0"/>
              <w:adjustRightIn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仿宋" w:hAnsi="仿宋" w:eastAsia="仿宋" w:cs="仿宋"/>
                <w:sz w:val="24"/>
              </w:rPr>
              <w:t>（7）对比教育供给侧改革前后社会就业率的变化（8）对比教育供给侧改革前后社会经济发展质量的变化</w:t>
            </w:r>
          </w:p>
          <w:p>
            <w:pPr>
              <w:keepNext w:val="0"/>
              <w:keepLines w:val="0"/>
              <w:pageBreakBefore w:val="0"/>
              <w:widowControl w:val="0"/>
              <w:kinsoku/>
              <w:wordWrap/>
              <w:overflowPunct/>
              <w:topLinePunct w:val="0"/>
              <w:autoSpaceDE/>
              <w:autoSpaceDN/>
              <w:bidi w:val="0"/>
              <w:adjustRightInd/>
              <w:spacing w:beforeLines="0" w:line="360" w:lineRule="auto"/>
              <w:ind w:left="0" w:leftChars="0" w:right="0" w:rightChars="0" w:firstLine="0" w:firstLineChars="0"/>
              <w:jc w:val="both"/>
              <w:textAlignment w:val="auto"/>
              <w:outlineLvl w:val="9"/>
              <w:rPr>
                <w:rFonts w:ascii="宋体" w:hAnsi="宋体"/>
                <w:sz w:val="24"/>
                <w:szCs w:val="24"/>
              </w:rPr>
            </w:pPr>
            <w:r>
              <w:rPr>
                <w:rFonts w:hint="eastAsia" w:ascii="仿宋" w:hAnsi="仿宋" w:eastAsia="仿宋" w:cs="仿宋"/>
                <w:sz w:val="24"/>
              </w:rPr>
              <w:t>要解决的主要问题：根据目前中国教育供给侧改革方针，高校在该政策下已经取得的成效，以及社会经济发展的进程，本课题要解决的主要问题，就是高校处在供给侧结构调整的背景下，应如何制定更高层次的教学战略，才能更有效的顺应社会市场的潮流，培养具有职业技能素养的人才，满足社会对高素质、高标准、高能力的人才需求，为我省的产业经济发展提供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0" w:hRule="atLeast"/>
        </w:trPr>
        <w:tc>
          <w:tcPr>
            <w:tcW w:w="8663"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beforeLines="0" w:line="360" w:lineRule="auto"/>
              <w:ind w:left="0" w:leftChars="0" w:right="0" w:rightChars="0" w:firstLine="0" w:firstLineChars="0"/>
              <w:jc w:val="both"/>
              <w:textAlignment w:val="auto"/>
              <w:outlineLvl w:val="9"/>
              <w:rPr>
                <w:rFonts w:hint="eastAsia" w:ascii="宋体" w:hAnsi="宋体"/>
                <w:sz w:val="24"/>
                <w:szCs w:val="24"/>
              </w:rPr>
            </w:pPr>
            <w:r>
              <w:rPr>
                <w:rFonts w:hint="eastAsia" w:ascii="宋体" w:hAnsi="宋体"/>
                <w:sz w:val="24"/>
                <w:szCs w:val="24"/>
              </w:rPr>
              <w:t>国内外研究现状和发展动态</w:t>
            </w:r>
          </w:p>
          <w:p>
            <w:pPr>
              <w:keepNext w:val="0"/>
              <w:keepLines w:val="0"/>
              <w:pageBreakBefore w:val="0"/>
              <w:widowControl w:val="0"/>
              <w:kinsoku/>
              <w:wordWrap/>
              <w:overflowPunct/>
              <w:topLinePunct w:val="0"/>
              <w:autoSpaceDE/>
              <w:autoSpaceDN/>
              <w:bidi w:val="0"/>
              <w:adjustRightIn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仿宋" w:hAnsi="仿宋" w:eastAsia="仿宋" w:cs="仿宋"/>
                <w:sz w:val="24"/>
              </w:rPr>
              <w:t>国内研究现状：2015年11月10日，“供给侧改革”在中央财经领导小组第十一次会议上由国家主席习近平首次提出，指出“在适度扩大总需求的同时，着力加强供给侧结构性改革，着力提高供给体系质量和效率，增强经济持续增长动力”。</w:t>
            </w:r>
          </w:p>
          <w:p>
            <w:pPr>
              <w:keepNext w:val="0"/>
              <w:keepLines w:val="0"/>
              <w:pageBreakBefore w:val="0"/>
              <w:widowControl w:val="0"/>
              <w:kinsoku/>
              <w:wordWrap/>
              <w:overflowPunct/>
              <w:topLinePunct w:val="0"/>
              <w:autoSpaceDE/>
              <w:autoSpaceDN/>
              <w:bidi w:val="0"/>
              <w:adjustRightIn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仿宋" w:hAnsi="仿宋" w:eastAsia="仿宋" w:cs="仿宋"/>
                <w:sz w:val="24"/>
              </w:rPr>
              <w:t>近年来，国家对高等教育问题很是重视。各种研究报告显示，我国高等教育在满足人民群众需求的同时，也出现供给相对过剩的局面，高等教育由“卖方市场”历史性的转向“买方市场”。中国社会科学院发布的《社会蓝皮书：2014年中国社会形势分析与预测》显示，在毕业两个月后，接受调查的应届毕业生失业率为17.6%。另一方面，处于需求端的服务业、制造业，找不到合适的技术技能型人才，出现大面积招工难、用工荒，形成人才“有效供给不足”。有学者主张降低发展速度，稳定规模，提高高等教育质量。其实并非如此，我国高等教育规模占人口比例离发达国家还有很大差距，如美国在2007年高等教育毛入学率就超过了80%，但他们并没有出现“就业难”的问题。关键原因还是我们的教育供给结构与经济社会发展不匹配额，形成一种结构性过剩。袁广林（2016）认为，我国虽已迈出改革步伐，但面对新时期产业转型的新要求，必须进一步系统设计、调整高等教育类型结构，加快健全高等职业教育体系。高等教育层次应在高等教育层次升级的拉动下，像研究生尤其专业学位研究生倾斜，加强研究生创新能力培养。</w:t>
            </w:r>
          </w:p>
          <w:p>
            <w:pPr>
              <w:keepNext w:val="0"/>
              <w:keepLines w:val="0"/>
              <w:pageBreakBefore w:val="0"/>
              <w:widowControl w:val="0"/>
              <w:kinsoku/>
              <w:wordWrap/>
              <w:overflowPunct/>
              <w:topLinePunct w:val="0"/>
              <w:autoSpaceDE/>
              <w:autoSpaceDN/>
              <w:bidi w:val="0"/>
              <w:adjustRightIn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仿宋" w:hAnsi="仿宋" w:eastAsia="仿宋" w:cs="仿宋"/>
                <w:sz w:val="24"/>
              </w:rPr>
              <w:t>有学者将教育改革的重点着力于专业组合上。方法林（2016）认为，教育供给侧的改革必须精准建设符合经济发展需要的各类专业，优化组合专业，积极推进专业群建设。张旭、郭菊娥、郝凯冰（2016）认为，高校应从培养学生创新创业意识的角度改革专业教育的课程体系与培养方式，打通一级学科或专业类相近学科专业的基础课程，开设跨学科专业的交叉课程，探索建立交叉培养创新创业人才的新机制。潘梅红（2017）针对职业教育，提出缩短与企业的距离，改革人才培养模式，同时在课程考核中建立多元化的考核机制，注重能力的考核。</w:t>
            </w:r>
          </w:p>
          <w:p>
            <w:pPr>
              <w:keepNext w:val="0"/>
              <w:keepLines w:val="0"/>
              <w:pageBreakBefore w:val="0"/>
              <w:widowControl w:val="0"/>
              <w:kinsoku/>
              <w:wordWrap/>
              <w:overflowPunct/>
              <w:topLinePunct w:val="0"/>
              <w:autoSpaceDE/>
              <w:autoSpaceDN/>
              <w:bidi w:val="0"/>
              <w:adjustRightIn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仿宋" w:hAnsi="仿宋" w:eastAsia="仿宋" w:cs="仿宋"/>
                <w:sz w:val="24"/>
              </w:rPr>
              <w:t>从时间上我们可以看出，国内研究学者对此问题的研究还在初始阶段，还有很大的空间可以探索；从内容上我们可以知道，在供给侧结构性改革的背景下，调整高等教育结构不仅对教育人才本身非常重要，从根本来说更是促进经济稳增长的良药。我们要将理论与实践紧紧结合在一起，不断进行探索。</w:t>
            </w:r>
          </w:p>
          <w:p>
            <w:pPr>
              <w:keepNext w:val="0"/>
              <w:keepLines w:val="0"/>
              <w:pageBreakBefore w:val="0"/>
              <w:widowControl w:val="0"/>
              <w:kinsoku/>
              <w:wordWrap/>
              <w:overflowPunct/>
              <w:topLinePunct w:val="0"/>
              <w:autoSpaceDE/>
              <w:autoSpaceDN/>
              <w:bidi w:val="0"/>
              <w:adjustRightInd/>
              <w:spacing w:beforeLines="0" w:line="360" w:lineRule="auto"/>
              <w:ind w:left="0" w:leftChars="0" w:right="0" w:rightChars="0" w:firstLine="0" w:firstLineChars="0"/>
              <w:jc w:val="both"/>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val="0"/>
              <w:spacing w:beforeLines="0" w:line="360" w:lineRule="auto"/>
              <w:ind w:left="0" w:leftChars="0" w:right="0" w:rightChars="0" w:firstLine="0" w:firstLineChars="0"/>
              <w:jc w:val="both"/>
              <w:textAlignment w:val="auto"/>
              <w:outlineLvl w:val="9"/>
              <w:rPr>
                <w:rFonts w:ascii="宋体" w:hAnsi="宋体"/>
                <w:sz w:val="24"/>
                <w:szCs w:val="24"/>
              </w:rPr>
            </w:pPr>
            <w:r>
              <w:rPr>
                <w:rFonts w:hint="eastAsia" w:ascii="仿宋" w:hAnsi="仿宋" w:eastAsia="仿宋" w:cs="仿宋"/>
                <w:sz w:val="24"/>
              </w:rPr>
              <w:t>国外研究情况：“供给侧”来源于19世纪初法国经济学家萨伊（Say）的供给自动创造需求的理论，即萨伊定理。它是20世纪初西方资本主义国家自由主义经济政策的理论基础。1929年西方国家爆发经济危机后，使得这一理论受到挑战，以需求管理为核心的凯恩斯主义取而代之，以其为基础的经济政策成功地应对了这场危机。到了20世纪70年代，面对高失业和高通胀，凯恩斯主义经济学失灵，认为国家干预、控制抑制了经济活力，以需求管理为核心的经济政策是造成“滞涨”的主要原因，凯恩斯主义也受到挑战，供给学派的主张重新受到重视，成为英美两国经济政策的理论依据，即所谓“里根经济学”的核心内容。里根政府在供给侧采取放松对企业的管制、支持自由竞争、降低税收等政策，有效地增加供给，抑制通货膨胀，激发经济活力，提升了经济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9" w:hRule="atLeast"/>
        </w:trPr>
        <w:tc>
          <w:tcPr>
            <w:tcW w:w="8663"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beforeLines="0" w:line="360" w:lineRule="auto"/>
              <w:ind w:left="0" w:leftChars="0" w:right="0" w:rightChars="0" w:firstLine="0" w:firstLineChars="0"/>
              <w:textAlignment w:val="auto"/>
              <w:outlineLvl w:val="9"/>
              <w:rPr>
                <w:rFonts w:hint="eastAsia" w:ascii="宋体" w:hAnsi="宋体"/>
                <w:sz w:val="24"/>
              </w:rPr>
            </w:pPr>
            <w:r>
              <w:rPr>
                <w:rFonts w:hint="eastAsia" w:ascii="宋体" w:hAnsi="宋体"/>
                <w:sz w:val="24"/>
                <w:szCs w:val="24"/>
              </w:rPr>
              <w:t>本项目学生有关的研究积累和已取得的成绩</w:t>
            </w:r>
          </w:p>
          <w:p>
            <w:pPr>
              <w:keepNext w:val="0"/>
              <w:keepLines w:val="0"/>
              <w:pageBreakBefore w:val="0"/>
              <w:widowControl/>
              <w:kinsoku/>
              <w:wordWrap/>
              <w:overflowPunct/>
              <w:topLinePunct w:val="0"/>
              <w:autoSpaceDE/>
              <w:autoSpaceDN/>
              <w:bidi w:val="0"/>
              <w:adjustRightInd/>
              <w:spacing w:beforeLines="0" w:line="360" w:lineRule="auto"/>
              <w:ind w:left="0" w:leftChars="0" w:right="0" w:rightChars="0" w:firstLine="0" w:firstLineChars="0"/>
              <w:jc w:val="left"/>
              <w:textAlignment w:val="auto"/>
              <w:outlineLvl w:val="9"/>
              <w:rPr>
                <w:rFonts w:hint="eastAsia" w:ascii="仿宋" w:hAnsi="仿宋" w:eastAsia="仿宋" w:cs="仿宋"/>
                <w:sz w:val="24"/>
              </w:rPr>
            </w:pPr>
            <w:r>
              <w:rPr>
                <w:rFonts w:hint="eastAsia" w:ascii="仿宋" w:hAnsi="仿宋" w:eastAsia="仿宋" w:cs="仿宋"/>
                <w:sz w:val="24"/>
              </w:rPr>
              <w:t>1.曾在《经济管理》期刊发表学术性论文《农村金融在扶贫中的问题研究》；</w:t>
            </w:r>
          </w:p>
          <w:p>
            <w:pPr>
              <w:keepNext w:val="0"/>
              <w:keepLines w:val="0"/>
              <w:pageBreakBefore w:val="0"/>
              <w:widowControl/>
              <w:kinsoku/>
              <w:wordWrap/>
              <w:overflowPunct/>
              <w:topLinePunct w:val="0"/>
              <w:autoSpaceDE/>
              <w:autoSpaceDN/>
              <w:bidi w:val="0"/>
              <w:adjustRightInd/>
              <w:spacing w:beforeLines="0" w:line="360" w:lineRule="auto"/>
              <w:ind w:left="0" w:leftChars="0" w:right="0" w:rightChars="0" w:firstLine="0" w:firstLineChars="0"/>
              <w:jc w:val="left"/>
              <w:textAlignment w:val="auto"/>
              <w:outlineLvl w:val="9"/>
              <w:rPr>
                <w:rFonts w:hint="eastAsia" w:ascii="仿宋" w:hAnsi="仿宋" w:eastAsia="仿宋"/>
                <w:sz w:val="24"/>
              </w:rPr>
            </w:pPr>
            <w:r>
              <w:rPr>
                <w:rFonts w:hint="eastAsia" w:ascii="仿宋" w:hAnsi="仿宋" w:eastAsia="仿宋"/>
                <w:sz w:val="24"/>
              </w:rPr>
              <w:t>2.从大二开始，在指导老师的指导下，研读了大量经济学方面的著作和文献；</w:t>
            </w:r>
          </w:p>
          <w:p>
            <w:pPr>
              <w:keepNext w:val="0"/>
              <w:keepLines w:val="0"/>
              <w:pageBreakBefore w:val="0"/>
              <w:kinsoku/>
              <w:wordWrap/>
              <w:overflowPunct/>
              <w:topLinePunct w:val="0"/>
              <w:autoSpaceDE/>
              <w:autoSpaceDN/>
              <w:bidi w:val="0"/>
              <w:adjustRightInd/>
              <w:snapToGrid w:val="0"/>
              <w:spacing w:beforeLines="0" w:line="360" w:lineRule="auto"/>
              <w:ind w:left="0" w:leftChars="0" w:right="0" w:rightChars="0" w:firstLine="0" w:firstLineChars="0"/>
              <w:textAlignment w:val="auto"/>
              <w:outlineLvl w:val="9"/>
              <w:rPr>
                <w:rFonts w:hint="eastAsia" w:ascii="仿宋" w:hAnsi="仿宋" w:eastAsia="仿宋"/>
                <w:sz w:val="24"/>
              </w:rPr>
            </w:pPr>
            <w:r>
              <w:rPr>
                <w:rFonts w:hint="eastAsia" w:ascii="仿宋" w:hAnsi="仿宋" w:eastAsia="仿宋"/>
                <w:sz w:val="24"/>
              </w:rPr>
              <w:t>3.一直协助指导老师做课题，包括查阅资料、收集数据以及下农村调研。</w:t>
            </w:r>
          </w:p>
          <w:p>
            <w:pPr>
              <w:keepNext w:val="0"/>
              <w:keepLines w:val="0"/>
              <w:pageBreakBefore w:val="0"/>
              <w:kinsoku/>
              <w:wordWrap/>
              <w:overflowPunct/>
              <w:topLinePunct w:val="0"/>
              <w:autoSpaceDE/>
              <w:autoSpaceDN/>
              <w:bidi w:val="0"/>
              <w:adjustRightInd/>
              <w:snapToGrid w:val="0"/>
              <w:spacing w:beforeLines="0" w:line="360" w:lineRule="auto"/>
              <w:ind w:left="0" w:leftChars="0" w:right="0" w:rightChars="0" w:firstLine="0" w:firstLineChars="0"/>
              <w:textAlignment w:val="auto"/>
              <w:outlineLvl w:val="9"/>
              <w:rPr>
                <w:rFonts w:hint="eastAsia" w:ascii="宋体" w:hAnsi="宋体"/>
                <w:sz w:val="24"/>
                <w:szCs w:val="24"/>
              </w:rPr>
            </w:pPr>
            <w:r>
              <w:rPr>
                <w:rFonts w:hint="eastAsia" w:ascii="仿宋" w:hAnsi="仿宋" w:eastAsia="仿宋"/>
                <w:sz w:val="24"/>
              </w:rPr>
              <w:t>通过以上三方面的工作，拥有了一定的科研经验。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663" w:type="dxa"/>
            <w:gridSpan w:val="7"/>
          </w:tcPr>
          <w:p>
            <w:pPr>
              <w:keepNext w:val="0"/>
              <w:keepLines w:val="0"/>
              <w:pageBreakBefore w:val="0"/>
              <w:widowControl w:val="0"/>
              <w:kinsoku/>
              <w:wordWrap/>
              <w:overflowPunct/>
              <w:topLinePunct w:val="0"/>
              <w:autoSpaceDE/>
              <w:autoSpaceDN/>
              <w:bidi w:val="0"/>
              <w:adjustRightInd/>
              <w:snapToGrid/>
              <w:spacing w:before="120" w:line="360" w:lineRule="auto"/>
              <w:ind w:left="0" w:leftChars="0" w:right="57" w:firstLine="0" w:firstLineChars="0"/>
              <w:jc w:val="both"/>
              <w:textAlignment w:val="auto"/>
              <w:outlineLvl w:val="9"/>
              <w:rPr>
                <w:rFonts w:hint="eastAsia" w:ascii="宋体" w:hAnsi="宋体"/>
                <w:bCs/>
                <w:sz w:val="24"/>
                <w:szCs w:val="24"/>
              </w:rPr>
            </w:pPr>
            <w:r>
              <w:rPr>
                <w:rFonts w:hint="eastAsia" w:ascii="宋体" w:hAnsi="宋体"/>
                <w:bCs/>
                <w:sz w:val="24"/>
                <w:szCs w:val="24"/>
              </w:rPr>
              <w:t>项目的创新点和特色</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outlineLvl w:val="9"/>
              <w:rPr>
                <w:rFonts w:ascii="宋体" w:hAnsi="宋体"/>
                <w:sz w:val="24"/>
                <w:szCs w:val="24"/>
              </w:rPr>
            </w:pPr>
            <w:r>
              <w:rPr>
                <w:rFonts w:hint="eastAsia" w:ascii="仿宋" w:hAnsi="仿宋" w:eastAsia="仿宋" w:cs="仿宋"/>
                <w:sz w:val="24"/>
              </w:rPr>
              <w:t>在教育供给侧改革的背景下，国内外研究中大都提及到社会中机会均等原则，其中大部分都集中指向公职教育如何获取公职的机会和教育机会、企业应如何与高校人才更加切合地结合起来、高校教育资源如何有效合理配置。然而传统本科与“211”、“985”研究型大学，即普通本科和重点本科，具有职业背景的专业也可以以教育供给侧改革为出发点，开展本科职业教育改革，人才培养与社会需求相匹配，从而改善“就业难”问题，促进我省经济发展。本课题正是从本科教育上着手，通过查阅文献及对比数据，分析讨论，提出高校教育中就教育供给侧改革能够完善的建议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8663" w:type="dxa"/>
            <w:gridSpan w:val="7"/>
          </w:tcPr>
          <w:p>
            <w:pPr>
              <w:keepNext w:val="0"/>
              <w:keepLines w:val="0"/>
              <w:pageBreakBefore w:val="0"/>
              <w:widowControl w:val="0"/>
              <w:kinsoku/>
              <w:wordWrap/>
              <w:overflowPunct/>
              <w:topLinePunct w:val="0"/>
              <w:autoSpaceDE/>
              <w:autoSpaceDN/>
              <w:bidi w:val="0"/>
              <w:adjustRightInd/>
              <w:snapToGrid/>
              <w:spacing w:beforeLines="0" w:line="360" w:lineRule="auto"/>
              <w:ind w:left="0" w:leftChars="0" w:right="0" w:rightChars="0" w:firstLine="0" w:firstLineChars="0"/>
              <w:jc w:val="both"/>
              <w:textAlignment w:val="auto"/>
              <w:outlineLvl w:val="9"/>
              <w:rPr>
                <w:rFonts w:hint="eastAsia" w:ascii="宋体" w:hAnsi="宋体"/>
                <w:sz w:val="24"/>
              </w:rPr>
            </w:pPr>
            <w:r>
              <w:rPr>
                <w:rFonts w:hint="eastAsia" w:ascii="宋体" w:hAnsi="宋体"/>
                <w:sz w:val="24"/>
                <w:szCs w:val="24"/>
              </w:rPr>
              <w:t>项目的技术路线及预期成果</w:t>
            </w:r>
          </w:p>
          <w:p>
            <w:pPr>
              <w:keepNext w:val="0"/>
              <w:keepLines w:val="0"/>
              <w:pageBreakBefore w:val="0"/>
              <w:widowControl w:val="0"/>
              <w:kinsoku/>
              <w:wordWrap/>
              <w:overflowPunct/>
              <w:topLinePunct w:val="0"/>
              <w:autoSpaceDE/>
              <w:autoSpaceDN/>
              <w:bidi w:val="0"/>
              <w:adjustRightInd/>
              <w:snapToGri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仿宋" w:hAnsi="仿宋" w:eastAsia="仿宋" w:cs="仿宋"/>
                <w:sz w:val="24"/>
              </w:rPr>
              <w:t>技术路线：</w:t>
            </w:r>
          </w:p>
          <w:p>
            <w:pPr>
              <w:keepNext w:val="0"/>
              <w:keepLines w:val="0"/>
              <w:pageBreakBefore w:val="0"/>
              <w:widowControl w:val="0"/>
              <w:kinsoku/>
              <w:wordWrap/>
              <w:overflowPunct/>
              <w:topLinePunct w:val="0"/>
              <w:autoSpaceDE/>
              <w:autoSpaceDN/>
              <w:bidi w:val="0"/>
              <w:adjustRightInd/>
              <w:snapToGri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仿宋" w:hAnsi="仿宋" w:eastAsia="仿宋" w:cs="仿宋"/>
                <w:sz w:val="24"/>
              </w:rPr>
              <w:t>文书分析作为学习理论、收集信息的主要技术方法，其中信息资料主要来源于有关教育供给侧理论和改革的书籍或文章、报刊杂志以及网络下载的相关数据统计资料等。根据教育供给侧改革的方针和思想，查阅高校教育的文本资料及相关信息网，搜集资料，进行前期的文书及数学研究，分析研究的政策背景，构建研究的理论框架，制定阶段研究目标与实施方案，在课题研究过程中不断完善研究方向，为课题实施奠定基础。</w:t>
            </w:r>
          </w:p>
          <w:p>
            <w:pPr>
              <w:keepNext w:val="0"/>
              <w:keepLines w:val="0"/>
              <w:pageBreakBefore w:val="0"/>
              <w:widowControl w:val="0"/>
              <w:kinsoku/>
              <w:wordWrap/>
              <w:overflowPunct/>
              <w:topLinePunct w:val="0"/>
              <w:autoSpaceDE/>
              <w:autoSpaceDN/>
              <w:bidi w:val="0"/>
              <w:adjustRightInd/>
              <w:snapToGri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仿宋" w:hAnsi="仿宋" w:eastAsia="仿宋" w:cs="仿宋"/>
                <w:sz w:val="24"/>
              </w:rPr>
              <w:t>调查我省各大高校的各个专业配置，专业分布，各个高校的优势专业的教学安排，特色专业的特色教学方案，从教育供给侧改革出发，根据不同高校的地理位置分布，不同的校史，不同的政策辅助，对比分析同一专业或同一课程在不同高校的教学模式并取得的不同成效和质量。</w:t>
            </w:r>
          </w:p>
          <w:p>
            <w:pPr>
              <w:keepNext w:val="0"/>
              <w:keepLines w:val="0"/>
              <w:pageBreakBefore w:val="0"/>
              <w:widowControl w:val="0"/>
              <w:kinsoku/>
              <w:wordWrap/>
              <w:overflowPunct/>
              <w:topLinePunct w:val="0"/>
              <w:autoSpaceDE/>
              <w:autoSpaceDN/>
              <w:bidi w:val="0"/>
              <w:adjustRightInd/>
              <w:snapToGri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仿宋" w:hAnsi="仿宋" w:eastAsia="仿宋" w:cs="仿宋"/>
                <w:sz w:val="24"/>
              </w:rPr>
              <w:t>个案分析。有针对性地开展专题性研究，根据反馈情况研讨，并对改革后典型案例进行剖析，提炼出针对教育供给侧改革的切合实际的可行性策略和方案。</w:t>
            </w:r>
          </w:p>
          <w:p>
            <w:pPr>
              <w:keepNext w:val="0"/>
              <w:keepLines w:val="0"/>
              <w:pageBreakBefore w:val="0"/>
              <w:widowControl w:val="0"/>
              <w:kinsoku/>
              <w:wordWrap/>
              <w:overflowPunct/>
              <w:topLinePunct w:val="0"/>
              <w:autoSpaceDE/>
              <w:autoSpaceDN/>
              <w:bidi w:val="0"/>
              <w:adjustRightInd/>
              <w:snapToGri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仿宋" w:hAnsi="仿宋" w:eastAsia="仿宋" w:cs="仿宋"/>
                <w:sz w:val="24"/>
              </w:rPr>
              <w:t>数据总结。根据个案分析以及调查统计数据，组织主研和协研人员定期或不定期睇开展报告交流与总结，积极撰写有一定价值的经验论文，由具体数据总结，上升到科学规律总结，提高课题研究水平。</w:t>
            </w:r>
          </w:p>
          <w:p>
            <w:pPr>
              <w:keepNext w:val="0"/>
              <w:keepLines w:val="0"/>
              <w:pageBreakBefore w:val="0"/>
              <w:widowControl w:val="0"/>
              <w:kinsoku/>
              <w:wordWrap/>
              <w:overflowPunct/>
              <w:topLinePunct w:val="0"/>
              <w:autoSpaceDE/>
              <w:autoSpaceDN/>
              <w:bidi w:val="0"/>
              <w:adjustRightInd/>
              <w:snapToGri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仿宋" w:hAnsi="仿宋" w:eastAsia="仿宋" w:cs="仿宋"/>
                <w:sz w:val="24"/>
              </w:rPr>
              <w:t>预期成果：</w:t>
            </w:r>
          </w:p>
          <w:p>
            <w:pPr>
              <w:keepNext w:val="0"/>
              <w:keepLines w:val="0"/>
              <w:pageBreakBefore w:val="0"/>
              <w:widowControl w:val="0"/>
              <w:kinsoku/>
              <w:wordWrap/>
              <w:overflowPunct/>
              <w:topLinePunct w:val="0"/>
              <w:autoSpaceDE/>
              <w:autoSpaceDN/>
              <w:bidi w:val="0"/>
              <w:adjustRightInd/>
              <w:snapToGrid/>
              <w:spacing w:beforeLines="0" w:line="360" w:lineRule="auto"/>
              <w:ind w:left="0" w:leftChars="0" w:right="0" w:rightChars="0" w:firstLine="0" w:firstLineChars="0"/>
              <w:jc w:val="both"/>
              <w:textAlignment w:val="auto"/>
              <w:outlineLvl w:val="9"/>
              <w:rPr>
                <w:rFonts w:ascii="宋体" w:hAnsi="宋体"/>
                <w:sz w:val="24"/>
                <w:szCs w:val="24"/>
              </w:rPr>
            </w:pPr>
            <w:r>
              <w:rPr>
                <w:rFonts w:hint="eastAsia" w:ascii="仿宋" w:hAnsi="仿宋" w:eastAsia="仿宋" w:cs="仿宋"/>
                <w:sz w:val="24"/>
              </w:rPr>
              <w:t>根据教育供给侧改革的基本方针，分析我省不同高校的教育体系，以及分别取得的有效成果与错误经验，最后计算得出我省高校该如何实施教育系统上的改革，以最大化有效实现培养多样性和专业性高校人才，满足当代社会对高校人才的需求，从而促进我省的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trPr>
        <w:tc>
          <w:tcPr>
            <w:tcW w:w="8663" w:type="dxa"/>
            <w:gridSpan w:val="7"/>
          </w:tcPr>
          <w:p>
            <w:pPr>
              <w:keepNext w:val="0"/>
              <w:keepLines w:val="0"/>
              <w:pageBreakBefore w:val="0"/>
              <w:widowControl w:val="0"/>
              <w:kinsoku/>
              <w:wordWrap/>
              <w:overflowPunct/>
              <w:topLinePunct w:val="0"/>
              <w:autoSpaceDE/>
              <w:autoSpaceDN/>
              <w:bidi w:val="0"/>
              <w:adjustRightInd/>
              <w:snapToGri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宋体" w:hAnsi="宋体"/>
                <w:sz w:val="24"/>
                <w:szCs w:val="24"/>
              </w:rPr>
              <w:t>年度目标和工作内容（分年度写）</w:t>
            </w:r>
          </w:p>
          <w:p>
            <w:pPr>
              <w:keepNext w:val="0"/>
              <w:keepLines w:val="0"/>
              <w:pageBreakBefore w:val="0"/>
              <w:widowControl w:val="0"/>
              <w:kinsoku/>
              <w:wordWrap/>
              <w:overflowPunct/>
              <w:topLinePunct w:val="0"/>
              <w:autoSpaceDE/>
              <w:autoSpaceDN/>
              <w:bidi w:val="0"/>
              <w:adjustRightInd/>
              <w:snapToGri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仿宋" w:hAnsi="仿宋" w:eastAsia="仿宋" w:cs="仿宋"/>
                <w:sz w:val="24"/>
              </w:rPr>
              <w:t>准备阶段（2017年4月）</w:t>
            </w:r>
          </w:p>
          <w:p>
            <w:pPr>
              <w:keepNext w:val="0"/>
              <w:keepLines w:val="0"/>
              <w:pageBreakBefore w:val="0"/>
              <w:widowControl w:val="0"/>
              <w:kinsoku/>
              <w:wordWrap/>
              <w:overflowPunct/>
              <w:topLinePunct w:val="0"/>
              <w:autoSpaceDE/>
              <w:autoSpaceDN/>
              <w:bidi w:val="0"/>
              <w:adjustRightInd/>
              <w:snapToGri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仿宋" w:hAnsi="仿宋" w:eastAsia="仿宋" w:cs="仿宋"/>
                <w:sz w:val="24"/>
              </w:rPr>
              <w:t>①组建课题组，搜集与课题有关的文献材料，对课题进行讨论，分析决定课题开展的方向，填写课题申请书申请立项；②学习教育供给侧改革的有关理论；③探索课题研究形式；④研究课题有关内容。</w:t>
            </w:r>
          </w:p>
          <w:p>
            <w:pPr>
              <w:keepNext w:val="0"/>
              <w:keepLines w:val="0"/>
              <w:pageBreakBefore w:val="0"/>
              <w:widowControl w:val="0"/>
              <w:kinsoku/>
              <w:wordWrap/>
              <w:overflowPunct/>
              <w:topLinePunct w:val="0"/>
              <w:autoSpaceDE/>
              <w:autoSpaceDN/>
              <w:bidi w:val="0"/>
              <w:adjustRightInd/>
              <w:snapToGri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仿宋" w:hAnsi="仿宋" w:eastAsia="仿宋" w:cs="仿宋"/>
                <w:sz w:val="24"/>
              </w:rPr>
              <w:t>研究阶段（2017年5月-2017年8月）</w:t>
            </w:r>
          </w:p>
          <w:p>
            <w:pPr>
              <w:keepNext w:val="0"/>
              <w:keepLines w:val="0"/>
              <w:pageBreakBefore w:val="0"/>
              <w:widowControl w:val="0"/>
              <w:kinsoku/>
              <w:wordWrap/>
              <w:overflowPunct/>
              <w:topLinePunct w:val="0"/>
              <w:autoSpaceDE/>
              <w:autoSpaceDN/>
              <w:bidi w:val="0"/>
              <w:adjustRightInd/>
              <w:snapToGri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仿宋" w:hAnsi="仿宋" w:eastAsia="仿宋" w:cs="仿宋"/>
                <w:sz w:val="24"/>
              </w:rPr>
              <w:t>①选择研究班及对照班；②进行研究分析；③探索教育模式；④建立研究档案，进行中期成果报告。</w:t>
            </w:r>
          </w:p>
          <w:p>
            <w:pPr>
              <w:keepNext w:val="0"/>
              <w:keepLines w:val="0"/>
              <w:pageBreakBefore w:val="0"/>
              <w:widowControl w:val="0"/>
              <w:kinsoku/>
              <w:wordWrap/>
              <w:overflowPunct/>
              <w:topLinePunct w:val="0"/>
              <w:autoSpaceDE/>
              <w:autoSpaceDN/>
              <w:bidi w:val="0"/>
              <w:adjustRightInd/>
              <w:snapToGrid/>
              <w:spacing w:beforeLines="0" w:line="360" w:lineRule="auto"/>
              <w:ind w:left="0" w:leftChars="0" w:right="0" w:rightChars="0" w:firstLine="0" w:firstLineChars="0"/>
              <w:jc w:val="both"/>
              <w:textAlignment w:val="auto"/>
              <w:outlineLvl w:val="9"/>
              <w:rPr>
                <w:rFonts w:hint="eastAsia" w:ascii="仿宋" w:hAnsi="仿宋" w:eastAsia="仿宋" w:cs="仿宋"/>
                <w:sz w:val="24"/>
              </w:rPr>
            </w:pPr>
            <w:r>
              <w:rPr>
                <w:rFonts w:hint="eastAsia" w:ascii="仿宋" w:hAnsi="仿宋" w:eastAsia="仿宋" w:cs="仿宋"/>
                <w:sz w:val="24"/>
              </w:rPr>
              <w:t>研究总结阶段（2017年8月）</w:t>
            </w:r>
          </w:p>
          <w:p>
            <w:pPr>
              <w:keepNext w:val="0"/>
              <w:keepLines w:val="0"/>
              <w:pageBreakBefore w:val="0"/>
              <w:widowControl w:val="0"/>
              <w:kinsoku/>
              <w:wordWrap/>
              <w:overflowPunct/>
              <w:topLinePunct w:val="0"/>
              <w:autoSpaceDE/>
              <w:autoSpaceDN/>
              <w:bidi w:val="0"/>
              <w:adjustRightInd/>
              <w:snapToGrid/>
              <w:spacing w:beforeLines="0" w:line="360" w:lineRule="auto"/>
              <w:ind w:left="0" w:leftChars="0" w:right="0" w:rightChars="0" w:firstLine="0" w:firstLineChars="0"/>
              <w:jc w:val="both"/>
              <w:textAlignment w:val="auto"/>
              <w:outlineLvl w:val="9"/>
              <w:rPr>
                <w:rFonts w:ascii="宋体" w:hAnsi="宋体"/>
                <w:sz w:val="24"/>
                <w:szCs w:val="24"/>
              </w:rPr>
            </w:pPr>
            <w:r>
              <w:rPr>
                <w:rFonts w:hint="eastAsia" w:ascii="仿宋" w:hAnsi="仿宋" w:eastAsia="仿宋" w:cs="仿宋"/>
                <w:sz w:val="24"/>
              </w:rPr>
              <w:t>①收集和整理研究成果，对研究前后的情况作出中肯的对比评价，形成比较完善的而且可实行的改善方案，能给高校提供参考和学习借鉴；②撰写研究论文；③研究成果汇报，做好结题工作，请专家对本课题进行鉴定，进行课题结题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8663" w:type="dxa"/>
            <w:gridSpan w:val="7"/>
            <w:vAlign w:val="top"/>
          </w:tcPr>
          <w:p>
            <w:pPr>
              <w:keepNext w:val="0"/>
              <w:keepLines w:val="0"/>
              <w:pageBreakBefore w:val="0"/>
              <w:widowControl w:val="0"/>
              <w:kinsoku/>
              <w:wordWrap/>
              <w:overflowPunct/>
              <w:topLinePunct w:val="0"/>
              <w:autoSpaceDE/>
              <w:autoSpaceDN/>
              <w:bidi w:val="0"/>
              <w:adjustRightInd/>
              <w:snapToGrid/>
              <w:spacing w:beforeLines="0" w:line="360" w:lineRule="auto"/>
              <w:ind w:right="0" w:rightChars="0"/>
              <w:jc w:val="both"/>
              <w:textAlignment w:val="auto"/>
              <w:outlineLvl w:val="9"/>
              <w:rPr>
                <w:rFonts w:ascii="宋体" w:hAnsi="宋体"/>
                <w:sz w:val="24"/>
                <w:szCs w:val="24"/>
              </w:rPr>
            </w:pPr>
            <w:r>
              <w:rPr>
                <w:rFonts w:hint="eastAsia" w:ascii="宋体" w:hAnsi="宋体"/>
                <w:sz w:val="24"/>
                <w:szCs w:val="24"/>
              </w:rPr>
              <w:t>指导教师意见</w:t>
            </w:r>
          </w:p>
          <w:p>
            <w:pPr>
              <w:keepNext w:val="0"/>
              <w:keepLines w:val="0"/>
              <w:pageBreakBefore w:val="0"/>
              <w:widowControl w:val="0"/>
              <w:kinsoku/>
              <w:wordWrap/>
              <w:overflowPunct/>
              <w:topLinePunct w:val="0"/>
              <w:autoSpaceDE/>
              <w:autoSpaceDN/>
              <w:bidi w:val="0"/>
              <w:adjustRightInd/>
              <w:snapToGrid/>
              <w:spacing w:beforeLines="0" w:line="36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目前，大学生就业难而企业又招不到人，所以教育供给侧改革迫在眉睫，该项目研究这个问题，具有现实意义，可行！</w:t>
            </w:r>
          </w:p>
          <w:p>
            <w:pPr>
              <w:keepNext w:val="0"/>
              <w:keepLines w:val="0"/>
              <w:pageBreakBefore w:val="0"/>
              <w:widowControl w:val="0"/>
              <w:kinsoku/>
              <w:wordWrap/>
              <w:overflowPunct/>
              <w:topLinePunct w:val="0"/>
              <w:autoSpaceDE/>
              <w:autoSpaceDN/>
              <w:bidi w:val="0"/>
              <w:adjustRightInd/>
              <w:snapToGrid/>
              <w:spacing w:beforeLines="0" w:line="360" w:lineRule="auto"/>
              <w:ind w:left="192" w:leftChars="60" w:right="0" w:rightChars="0" w:firstLine="3127" w:firstLineChars="1303"/>
              <w:jc w:val="both"/>
              <w:textAlignment w:val="auto"/>
              <w:outlineLvl w:val="9"/>
              <w:rPr>
                <w:rFonts w:ascii="宋体" w:hAnsi="宋体"/>
                <w:sz w:val="24"/>
                <w:szCs w:val="24"/>
              </w:rPr>
            </w:pPr>
            <w:r>
              <w:rPr>
                <w:rFonts w:hint="eastAsia" w:ascii="宋体" w:hAnsi="宋体"/>
                <w:sz w:val="24"/>
                <w:szCs w:val="24"/>
              </w:rPr>
              <w:t>签字：</w:t>
            </w:r>
            <w:r>
              <w:rPr>
                <w:rFonts w:hint="eastAsia" w:ascii="宋体" w:hAnsi="宋体"/>
                <w:sz w:val="24"/>
                <w:szCs w:val="24"/>
                <w:lang w:val="en-US" w:eastAsia="zh-CN"/>
              </w:rPr>
              <w:t xml:space="preserve">王建军  </w:t>
            </w:r>
            <w:r>
              <w:rPr>
                <w:rFonts w:hint="eastAsia" w:ascii="宋体" w:hAnsi="宋体"/>
                <w:sz w:val="24"/>
                <w:szCs w:val="24"/>
              </w:rPr>
              <w:t>日期：</w:t>
            </w:r>
            <w:r>
              <w:rPr>
                <w:rFonts w:hint="eastAsia" w:ascii="宋体" w:hAnsi="宋体"/>
                <w:sz w:val="24"/>
                <w:szCs w:val="24"/>
                <w:lang w:eastAsia="zh-CN"/>
              </w:rPr>
              <w:t>2017.4.11</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361" w:right="1701" w:bottom="1361" w:left="1758" w:header="851" w:footer="1418" w:gutter="0"/>
      <w:cols w:space="425" w:num="1"/>
      <w:docGrid w:linePitch="608" w:charSpace="-37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00"/>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sz w:val="28"/>
        <w:szCs w:val="28"/>
      </w:rPr>
    </w:pPr>
    <w:r>
      <w:rPr>
        <w:rStyle w:val="6"/>
        <w:rFonts w:hint="eastAsia"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2</w:t>
    </w:r>
    <w:r>
      <w:rPr>
        <w:rStyle w:val="6"/>
        <w:rFonts w:ascii="宋体" w:hAnsi="宋体"/>
        <w:sz w:val="28"/>
        <w:szCs w:val="28"/>
      </w:rPr>
      <w:fldChar w:fldCharType="end"/>
    </w:r>
    <w:r>
      <w:rPr>
        <w:rStyle w:val="6"/>
        <w:rFonts w:hint="eastAsia" w:ascii="宋体" w:hAnsi="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sz w:val="28"/>
        <w:szCs w:val="28"/>
      </w:rPr>
    </w:pPr>
    <w:r>
      <w:rPr>
        <w:rStyle w:val="6"/>
        <w:rFonts w:hint="eastAsia"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22</w:t>
    </w:r>
    <w:r>
      <w:rPr>
        <w:rStyle w:val="6"/>
        <w:rFonts w:ascii="宋体" w:hAnsi="宋体"/>
        <w:sz w:val="28"/>
        <w:szCs w:val="28"/>
      </w:rPr>
      <w:fldChar w:fldCharType="end"/>
    </w:r>
    <w:r>
      <w:rPr>
        <w:rStyle w:val="6"/>
        <w:rFonts w:hint="eastAsia" w:ascii="宋体" w:hAnsi="宋体"/>
        <w:sz w:val="28"/>
        <w:szCs w:val="28"/>
      </w:rPr>
      <w:t>－</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6155"/>
    <w:multiLevelType w:val="multilevel"/>
    <w:tmpl w:val="1723615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A703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line="240" w:lineRule="auto"/>
      <w:ind w:firstLine="0" w:firstLineChars="0"/>
      <w:jc w:val="both"/>
    </w:pPr>
    <w:rPr>
      <w:rFonts w:ascii="Times New Roman" w:hAnsi="Times New Roman" w:eastAsia="宋体" w:cs="Times New Roman"/>
      <w:kern w:val="2"/>
      <w:sz w:val="32"/>
      <w:szCs w:val="3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adjustRightInd w:val="0"/>
      <w:snapToGrid w:val="0"/>
      <w:spacing w:line="360" w:lineRule="auto"/>
      <w:ind w:firstLine="555"/>
    </w:pPr>
    <w:rPr>
      <w:sz w:val="21"/>
      <w:szCs w:val="24"/>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脚 Char"/>
    <w:basedOn w:val="5"/>
    <w:link w:val="3"/>
    <w:qFormat/>
    <w:uiPriority w:val="0"/>
    <w:rPr>
      <w:rFonts w:ascii="Times New Roman" w:hAnsi="Times New Roman" w:eastAsia="宋体" w:cs="Times New Roman"/>
      <w:sz w:val="18"/>
      <w:szCs w:val="18"/>
    </w:rPr>
  </w:style>
  <w:style w:type="character" w:customStyle="1" w:styleId="9">
    <w:name w:val="页眉 Char"/>
    <w:basedOn w:val="5"/>
    <w:link w:val="4"/>
    <w:qFormat/>
    <w:uiPriority w:val="0"/>
    <w:rPr>
      <w:rFonts w:ascii="Times New Roman" w:hAnsi="Times New Roman" w:eastAsia="宋体" w:cs="Times New Roman"/>
      <w:sz w:val="18"/>
      <w:szCs w:val="18"/>
    </w:rPr>
  </w:style>
  <w:style w:type="character" w:customStyle="1" w:styleId="10">
    <w:name w:val="正文文本缩进 Char"/>
    <w:basedOn w:val="5"/>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50</Words>
  <Characters>290</Characters>
  <Lines>2</Lines>
  <Paragraphs>1</Paragraphs>
  <ScaleCrop>false</ScaleCrop>
  <LinksUpToDate>false</LinksUpToDate>
  <CharactersWithSpaces>339</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2017-04-24T01:28:00Z</dcterms:created>
  <dc:creator>谢丽</dc:creator>
  <cp:lastModifiedBy>admin</cp:lastModifiedBy>
  <dcterms:modified xsi:type="dcterms:W3CDTF">2017-04-24T01:45:24Z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