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600" w:lineRule="exact"/>
        <w:jc w:val="center"/>
        <w:rPr>
          <w:rFonts w:hint="eastAsia" w:ascii="方正小标宋_GBK" w:hAnsi="宋体" w:eastAsia="方正小标宋_GBK"/>
          <w:spacing w:val="-20"/>
          <w:sz w:val="44"/>
          <w:szCs w:val="44"/>
        </w:rPr>
      </w:pPr>
      <w:r>
        <w:rPr>
          <w:rFonts w:hint="eastAsia" w:ascii="方正小标宋_GBK" w:hAnsi="宋体" w:eastAsia="方正小标宋_GBK"/>
          <w:spacing w:val="-20"/>
          <w:sz w:val="44"/>
          <w:szCs w:val="44"/>
        </w:rPr>
        <w:t>湖南省大学生研究性学习和创新性实验计划</w:t>
      </w:r>
    </w:p>
    <w:p>
      <w:pPr>
        <w:snapToGrid w:val="0"/>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项　 目　 申　 报　 表</w:t>
      </w:r>
    </w:p>
    <w:p>
      <w:pPr>
        <w:snapToGrid w:val="0"/>
        <w:jc w:val="center"/>
        <w:rPr>
          <w:rFonts w:hint="eastAsia" w:ascii="仿宋_GB2312" w:hAnsi="宋体" w:eastAsia="仿宋_GB2312"/>
        </w:rPr>
      </w:pPr>
    </w:p>
    <w:tbl>
      <w:tblPr>
        <w:tblStyle w:val="8"/>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785"/>
        <w:gridCol w:w="671"/>
        <w:gridCol w:w="1115"/>
        <w:gridCol w:w="1071"/>
        <w:gridCol w:w="67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663" w:type="dxa"/>
            <w:gridSpan w:val="7"/>
            <w:vAlign w:val="center"/>
          </w:tcPr>
          <w:p>
            <w:pPr>
              <w:snapToGrid w:val="0"/>
              <w:ind w:left="180"/>
              <w:rPr>
                <w:rFonts w:hint="eastAsia" w:ascii="宋体" w:hAnsi="宋体"/>
                <w:sz w:val="24"/>
                <w:szCs w:val="24"/>
              </w:rPr>
            </w:pPr>
            <w:r>
              <w:rPr>
                <w:rFonts w:hint="eastAsia" w:ascii="宋体" w:hAnsi="宋体"/>
                <w:sz w:val="24"/>
                <w:szCs w:val="24"/>
              </w:rPr>
              <w:t>项目名称:</w:t>
            </w:r>
            <w:r>
              <w:rPr>
                <w:rFonts w:hint="eastAsia" w:ascii="仿宋" w:hAnsi="仿宋" w:eastAsia="仿宋" w:cs="仿宋"/>
                <w:sz w:val="24"/>
              </w:rPr>
              <w:t>长沙市会展场馆</w:t>
            </w:r>
            <w:r>
              <w:rPr>
                <w:rFonts w:hint="eastAsia" w:ascii="仿宋" w:hAnsi="仿宋" w:eastAsia="仿宋" w:cs="仿宋"/>
                <w:sz w:val="24"/>
                <w:lang w:val="en-US" w:eastAsia="zh-CN"/>
              </w:rPr>
              <w:t>使用情况</w:t>
            </w:r>
            <w:r>
              <w:rPr>
                <w:rFonts w:hint="eastAsia" w:ascii="仿宋" w:hAnsi="仿宋" w:eastAsia="仿宋" w:cs="仿宋"/>
                <w:sz w:val="24"/>
              </w:rPr>
              <w:t>研究</w:t>
            </w:r>
            <w:r>
              <w:rPr>
                <w:rFonts w:hint="eastAsia" w:ascii="仿宋" w:hAnsi="仿宋" w:eastAsia="仿宋" w:cs="仿宋"/>
                <w:sz w:val="24"/>
                <w:lang w:val="en-US" w:eastAsia="zh-CN"/>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宋体" w:hAnsi="宋体"/>
                <w:sz w:val="24"/>
                <w:szCs w:val="24"/>
              </w:rPr>
            </w:pPr>
            <w:r>
              <w:rPr>
                <w:rFonts w:hint="eastAsia" w:ascii="宋体" w:hAnsi="宋体"/>
                <w:sz w:val="24"/>
                <w:szCs w:val="24"/>
              </w:rPr>
              <w:t>学校名称</w:t>
            </w:r>
          </w:p>
        </w:tc>
        <w:tc>
          <w:tcPr>
            <w:tcW w:w="7063" w:type="dxa"/>
            <w:gridSpan w:val="6"/>
            <w:vAlign w:val="center"/>
          </w:tcPr>
          <w:p>
            <w:pPr>
              <w:snapToGrid w:val="0"/>
              <w:rPr>
                <w:rFonts w:hint="eastAsia" w:ascii="宋体" w:hAnsi="宋体" w:eastAsiaTheme="minorEastAsia"/>
                <w:sz w:val="24"/>
                <w:szCs w:val="24"/>
                <w:lang w:val="en-US" w:eastAsia="zh-CN"/>
              </w:rPr>
            </w:pPr>
            <w:r>
              <w:rPr>
                <w:rFonts w:hint="eastAsia" w:ascii="仿宋" w:hAnsi="仿宋" w:eastAsia="仿宋" w:cs="仿宋"/>
                <w:sz w:val="24"/>
                <w:szCs w:val="24"/>
                <w:lang w:val="en-US" w:eastAsia="zh-CN"/>
              </w:rPr>
              <w:t>中南林业科技大学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宋体" w:hAnsi="宋体"/>
                <w:sz w:val="24"/>
                <w:szCs w:val="24"/>
              </w:rPr>
            </w:pPr>
            <w:r>
              <w:rPr>
                <w:rFonts w:hint="eastAsia" w:ascii="宋体" w:hAnsi="宋体"/>
                <w:sz w:val="24"/>
                <w:szCs w:val="24"/>
              </w:rPr>
              <w:t>学生姓名</w:t>
            </w:r>
          </w:p>
        </w:tc>
        <w:tc>
          <w:tcPr>
            <w:tcW w:w="1785" w:type="dxa"/>
            <w:vAlign w:val="center"/>
          </w:tcPr>
          <w:p>
            <w:pPr>
              <w:snapToGrid w:val="0"/>
              <w:jc w:val="center"/>
              <w:rPr>
                <w:rFonts w:hint="eastAsia" w:ascii="宋体" w:hAnsi="宋体"/>
                <w:sz w:val="24"/>
                <w:szCs w:val="24"/>
              </w:rPr>
            </w:pPr>
            <w:r>
              <w:rPr>
                <w:rFonts w:hint="eastAsia" w:ascii="宋体" w:hAnsi="宋体"/>
                <w:sz w:val="24"/>
                <w:szCs w:val="24"/>
              </w:rPr>
              <w:t>学  号</w:t>
            </w:r>
          </w:p>
        </w:tc>
        <w:tc>
          <w:tcPr>
            <w:tcW w:w="1786" w:type="dxa"/>
            <w:gridSpan w:val="2"/>
            <w:vAlign w:val="center"/>
          </w:tcPr>
          <w:p>
            <w:pPr>
              <w:snapToGrid w:val="0"/>
              <w:jc w:val="center"/>
              <w:rPr>
                <w:rFonts w:hint="eastAsia" w:ascii="宋体" w:hAnsi="宋体"/>
                <w:sz w:val="24"/>
                <w:szCs w:val="24"/>
              </w:rPr>
            </w:pPr>
            <w:r>
              <w:rPr>
                <w:rFonts w:hint="eastAsia" w:ascii="宋体" w:hAnsi="宋体"/>
                <w:sz w:val="24"/>
                <w:szCs w:val="24"/>
              </w:rPr>
              <w:t>专      业</w:t>
            </w:r>
          </w:p>
        </w:tc>
        <w:tc>
          <w:tcPr>
            <w:tcW w:w="1071" w:type="dxa"/>
            <w:vAlign w:val="center"/>
          </w:tcPr>
          <w:p>
            <w:pPr>
              <w:snapToGrid w:val="0"/>
              <w:jc w:val="center"/>
              <w:rPr>
                <w:rFonts w:hint="eastAsia" w:ascii="宋体" w:hAnsi="宋体"/>
                <w:sz w:val="24"/>
                <w:szCs w:val="24"/>
              </w:rPr>
            </w:pPr>
            <w:r>
              <w:rPr>
                <w:rFonts w:hint="eastAsia" w:ascii="宋体" w:hAnsi="宋体"/>
                <w:sz w:val="24"/>
                <w:szCs w:val="24"/>
              </w:rPr>
              <w:t>性 别</w:t>
            </w:r>
          </w:p>
        </w:tc>
        <w:tc>
          <w:tcPr>
            <w:tcW w:w="2421" w:type="dxa"/>
            <w:gridSpan w:val="2"/>
            <w:vAlign w:val="center"/>
          </w:tcPr>
          <w:p>
            <w:pPr>
              <w:snapToGrid w:val="0"/>
              <w:jc w:val="center"/>
              <w:rPr>
                <w:rFonts w:hint="eastAsia" w:ascii="宋体" w:hAnsi="宋体"/>
                <w:sz w:val="24"/>
                <w:szCs w:val="24"/>
              </w:rPr>
            </w:pPr>
            <w:r>
              <w:rPr>
                <w:rFonts w:hint="eastAsia" w:ascii="宋体" w:hAnsi="宋体"/>
                <w:sz w:val="24"/>
                <w:szCs w:val="24"/>
              </w:rPr>
              <w:t>入 学 年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陈希敏</w:t>
            </w:r>
          </w:p>
        </w:tc>
        <w:tc>
          <w:tcPr>
            <w:tcW w:w="1785"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20152861</w:t>
            </w:r>
          </w:p>
        </w:tc>
        <w:tc>
          <w:tcPr>
            <w:tcW w:w="1786" w:type="dxa"/>
            <w:gridSpan w:val="2"/>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会展经济与管理</w:t>
            </w:r>
          </w:p>
        </w:tc>
        <w:tc>
          <w:tcPr>
            <w:tcW w:w="1071"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2421" w:type="dxa"/>
            <w:gridSpan w:val="2"/>
            <w:vAlign w:val="center"/>
          </w:tcPr>
          <w:p>
            <w:pPr>
              <w:snapToGrid w:val="0"/>
              <w:ind w:left="86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段婕</w:t>
            </w:r>
          </w:p>
        </w:tc>
        <w:tc>
          <w:tcPr>
            <w:tcW w:w="1785"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20152863</w:t>
            </w:r>
          </w:p>
        </w:tc>
        <w:tc>
          <w:tcPr>
            <w:tcW w:w="1786" w:type="dxa"/>
            <w:gridSpan w:val="2"/>
            <w:vAlign w:val="center"/>
          </w:tcPr>
          <w:p>
            <w:pPr>
              <w:snapToGrid w:val="0"/>
              <w:rPr>
                <w:rFonts w:hint="eastAsia" w:ascii="仿宋" w:hAnsi="仿宋" w:eastAsia="仿宋" w:cs="仿宋"/>
                <w:sz w:val="24"/>
                <w:szCs w:val="24"/>
              </w:rPr>
            </w:pPr>
            <w:r>
              <w:rPr>
                <w:rFonts w:hint="eastAsia" w:ascii="仿宋" w:hAnsi="仿宋" w:eastAsia="仿宋" w:cs="仿宋"/>
                <w:sz w:val="24"/>
                <w:szCs w:val="24"/>
                <w:lang w:val="en-US" w:eastAsia="zh-CN"/>
              </w:rPr>
              <w:t>会展经济与管理</w:t>
            </w:r>
          </w:p>
        </w:tc>
        <w:tc>
          <w:tcPr>
            <w:tcW w:w="1071"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2421" w:type="dxa"/>
            <w:gridSpan w:val="2"/>
            <w:vAlign w:val="center"/>
          </w:tcPr>
          <w:p>
            <w:pPr>
              <w:snapToGrid w:val="0"/>
              <w:ind w:left="86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郭智捷</w:t>
            </w:r>
          </w:p>
        </w:tc>
        <w:tc>
          <w:tcPr>
            <w:tcW w:w="1785"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20152864</w:t>
            </w:r>
          </w:p>
        </w:tc>
        <w:tc>
          <w:tcPr>
            <w:tcW w:w="1786" w:type="dxa"/>
            <w:gridSpan w:val="2"/>
            <w:vAlign w:val="center"/>
          </w:tcPr>
          <w:p>
            <w:pPr>
              <w:snapToGrid w:val="0"/>
              <w:rPr>
                <w:rFonts w:hint="eastAsia" w:ascii="仿宋" w:hAnsi="仿宋" w:eastAsia="仿宋" w:cs="仿宋"/>
                <w:sz w:val="24"/>
                <w:szCs w:val="24"/>
              </w:rPr>
            </w:pPr>
            <w:r>
              <w:rPr>
                <w:rFonts w:hint="eastAsia" w:ascii="仿宋" w:hAnsi="仿宋" w:eastAsia="仿宋" w:cs="仿宋"/>
                <w:sz w:val="24"/>
                <w:szCs w:val="24"/>
                <w:lang w:val="en-US" w:eastAsia="zh-CN"/>
              </w:rPr>
              <w:t>会展经济与管理</w:t>
            </w:r>
          </w:p>
        </w:tc>
        <w:tc>
          <w:tcPr>
            <w:tcW w:w="1071"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2421" w:type="dxa"/>
            <w:gridSpan w:val="2"/>
            <w:vAlign w:val="center"/>
          </w:tcPr>
          <w:p>
            <w:pPr>
              <w:snapToGrid w:val="0"/>
              <w:ind w:left="86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李陈晨</w:t>
            </w:r>
          </w:p>
        </w:tc>
        <w:tc>
          <w:tcPr>
            <w:tcW w:w="1785"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20152867</w:t>
            </w:r>
          </w:p>
        </w:tc>
        <w:tc>
          <w:tcPr>
            <w:tcW w:w="1786" w:type="dxa"/>
            <w:gridSpan w:val="2"/>
            <w:vAlign w:val="center"/>
          </w:tcPr>
          <w:p>
            <w:pPr>
              <w:snapToGrid w:val="0"/>
              <w:rPr>
                <w:rFonts w:hint="eastAsia" w:ascii="仿宋" w:hAnsi="仿宋" w:eastAsia="仿宋" w:cs="仿宋"/>
                <w:sz w:val="24"/>
                <w:szCs w:val="24"/>
              </w:rPr>
            </w:pPr>
            <w:r>
              <w:rPr>
                <w:rFonts w:hint="eastAsia" w:ascii="仿宋" w:hAnsi="仿宋" w:eastAsia="仿宋" w:cs="仿宋"/>
                <w:sz w:val="24"/>
                <w:szCs w:val="24"/>
                <w:lang w:val="en-US" w:eastAsia="zh-CN"/>
              </w:rPr>
              <w:t>会展经济与管理</w:t>
            </w:r>
          </w:p>
        </w:tc>
        <w:tc>
          <w:tcPr>
            <w:tcW w:w="1071"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2421" w:type="dxa"/>
            <w:gridSpan w:val="2"/>
            <w:vAlign w:val="center"/>
          </w:tcPr>
          <w:p>
            <w:pPr>
              <w:snapToGrid w:val="0"/>
              <w:ind w:left="86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梁启静</w:t>
            </w:r>
          </w:p>
        </w:tc>
        <w:tc>
          <w:tcPr>
            <w:tcW w:w="1785"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20152869</w:t>
            </w:r>
          </w:p>
        </w:tc>
        <w:tc>
          <w:tcPr>
            <w:tcW w:w="1786" w:type="dxa"/>
            <w:gridSpan w:val="2"/>
            <w:vAlign w:val="center"/>
          </w:tcPr>
          <w:p>
            <w:pPr>
              <w:snapToGrid w:val="0"/>
              <w:rPr>
                <w:rFonts w:hint="eastAsia" w:ascii="仿宋" w:hAnsi="仿宋" w:eastAsia="仿宋" w:cs="仿宋"/>
                <w:sz w:val="24"/>
                <w:szCs w:val="24"/>
              </w:rPr>
            </w:pPr>
            <w:r>
              <w:rPr>
                <w:rFonts w:hint="eastAsia" w:ascii="仿宋" w:hAnsi="仿宋" w:eastAsia="仿宋" w:cs="仿宋"/>
                <w:sz w:val="24"/>
                <w:szCs w:val="24"/>
                <w:lang w:val="en-US" w:eastAsia="zh-CN"/>
              </w:rPr>
              <w:t>会展经济与管理</w:t>
            </w:r>
          </w:p>
        </w:tc>
        <w:tc>
          <w:tcPr>
            <w:tcW w:w="1071"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2421" w:type="dxa"/>
            <w:gridSpan w:val="2"/>
            <w:vAlign w:val="center"/>
          </w:tcPr>
          <w:p>
            <w:pPr>
              <w:snapToGrid w:val="0"/>
              <w:ind w:left="86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hint="eastAsia" w:ascii="宋体" w:hAnsi="宋体"/>
                <w:sz w:val="24"/>
                <w:szCs w:val="24"/>
              </w:rPr>
            </w:pPr>
            <w:r>
              <w:rPr>
                <w:rFonts w:hint="eastAsia" w:ascii="宋体" w:hAnsi="宋体"/>
                <w:sz w:val="24"/>
                <w:szCs w:val="24"/>
              </w:rPr>
              <w:t>指导教师</w:t>
            </w:r>
          </w:p>
        </w:tc>
        <w:tc>
          <w:tcPr>
            <w:tcW w:w="2456" w:type="dxa"/>
            <w:gridSpan w:val="2"/>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文岚</w:t>
            </w:r>
          </w:p>
        </w:tc>
        <w:tc>
          <w:tcPr>
            <w:tcW w:w="1115" w:type="dxa"/>
            <w:vAlign w:val="center"/>
          </w:tcPr>
          <w:p>
            <w:pPr>
              <w:snapToGrid w:val="0"/>
              <w:jc w:val="center"/>
              <w:rPr>
                <w:rFonts w:hint="eastAsia" w:ascii="宋体" w:hAnsi="宋体"/>
                <w:sz w:val="24"/>
                <w:szCs w:val="24"/>
              </w:rPr>
            </w:pPr>
            <w:r>
              <w:rPr>
                <w:rFonts w:hint="eastAsia" w:ascii="宋体" w:hAnsi="宋体"/>
                <w:sz w:val="24"/>
                <w:szCs w:val="24"/>
              </w:rPr>
              <w:t>职称</w:t>
            </w:r>
          </w:p>
        </w:tc>
        <w:tc>
          <w:tcPr>
            <w:tcW w:w="3492" w:type="dxa"/>
            <w:gridSpan w:val="3"/>
            <w:vAlign w:val="center"/>
          </w:tcPr>
          <w:p>
            <w:pPr>
              <w:snapToGrid w:val="0"/>
              <w:ind w:left="864"/>
              <w:rPr>
                <w:rFonts w:hint="eastAsia" w:ascii="宋体" w:hAnsi="宋体"/>
                <w:sz w:val="24"/>
                <w:szCs w:val="24"/>
              </w:rPr>
            </w:pPr>
            <w:r>
              <w:rPr>
                <w:rFonts w:hint="eastAsia" w:ascii="仿宋" w:hAnsi="仿宋" w:eastAsia="仿宋" w:cs="仿宋"/>
                <w:sz w:val="24"/>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firstLine="111" w:firstLineChars="50"/>
              <w:rPr>
                <w:rFonts w:hint="eastAsia" w:ascii="宋体" w:hAnsi="宋体"/>
                <w:sz w:val="24"/>
                <w:szCs w:val="24"/>
              </w:rPr>
            </w:pPr>
            <w:r>
              <w:rPr>
                <w:rFonts w:hint="eastAsia" w:ascii="宋体" w:hAnsi="宋体"/>
                <w:sz w:val="24"/>
                <w:szCs w:val="24"/>
              </w:rPr>
              <w:t>项目所属</w:t>
            </w:r>
          </w:p>
          <w:p>
            <w:pPr>
              <w:snapToGrid w:val="0"/>
              <w:ind w:left="180"/>
              <w:rPr>
                <w:rFonts w:hint="eastAsia" w:ascii="宋体" w:hAnsi="宋体"/>
                <w:sz w:val="24"/>
                <w:szCs w:val="24"/>
              </w:rPr>
            </w:pPr>
            <w:r>
              <w:rPr>
                <w:rFonts w:hint="eastAsia" w:ascii="宋体" w:hAnsi="宋体"/>
                <w:sz w:val="24"/>
                <w:szCs w:val="24"/>
              </w:rPr>
              <w:t>一级学科</w:t>
            </w:r>
          </w:p>
        </w:tc>
        <w:tc>
          <w:tcPr>
            <w:tcW w:w="2456" w:type="dxa"/>
            <w:gridSpan w:val="2"/>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管理学</w:t>
            </w:r>
          </w:p>
        </w:tc>
        <w:tc>
          <w:tcPr>
            <w:tcW w:w="2862" w:type="dxa"/>
            <w:gridSpan w:val="3"/>
            <w:vAlign w:val="center"/>
          </w:tcPr>
          <w:p>
            <w:pPr>
              <w:snapToGrid w:val="0"/>
              <w:ind w:left="180"/>
              <w:rPr>
                <w:rFonts w:hint="eastAsia" w:ascii="宋体" w:hAnsi="宋体"/>
                <w:sz w:val="24"/>
                <w:szCs w:val="24"/>
              </w:rPr>
            </w:pPr>
            <w:r>
              <w:rPr>
                <w:rFonts w:hint="eastAsia" w:ascii="宋体" w:hAnsi="宋体"/>
                <w:sz w:val="24"/>
                <w:szCs w:val="24"/>
              </w:rPr>
              <w:t>项目科类(理科/文科)</w:t>
            </w:r>
          </w:p>
        </w:tc>
        <w:tc>
          <w:tcPr>
            <w:tcW w:w="1745" w:type="dxa"/>
            <w:vAlign w:val="center"/>
          </w:tcPr>
          <w:p>
            <w:pPr>
              <w:snapToGrid w:val="0"/>
              <w:ind w:left="86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8663" w:type="dxa"/>
            <w:gridSpan w:val="7"/>
            <w:vAlign w:val="top"/>
          </w:tcPr>
          <w:p>
            <w:pPr>
              <w:snapToGrid w:val="0"/>
              <w:rPr>
                <w:rFonts w:hint="eastAsia" w:ascii="宋体" w:hAnsi="宋体"/>
                <w:sz w:val="24"/>
                <w:szCs w:val="24"/>
              </w:rPr>
            </w:pPr>
            <w:r>
              <w:rPr>
                <w:rFonts w:hint="eastAsia" w:ascii="宋体" w:hAnsi="宋体"/>
                <w:sz w:val="24"/>
                <w:szCs w:val="24"/>
              </w:rPr>
              <w:t>学生曾经参与科研的情况</w:t>
            </w:r>
          </w:p>
          <w:p>
            <w:pPr>
              <w:snapToGrid w:val="0"/>
              <w:ind w:left="181"/>
              <w:rPr>
                <w:rFonts w:hint="eastAsia" w:ascii="宋体" w:hAnsi="宋体"/>
                <w:sz w:val="24"/>
                <w:szCs w:val="24"/>
              </w:rPr>
            </w:pPr>
          </w:p>
          <w:p>
            <w:pPr>
              <w:snapToGrid w:val="0"/>
              <w:ind w:left="181"/>
              <w:rPr>
                <w:rFonts w:hint="eastAsia" w:ascii="宋体" w:hAnsi="宋体" w:eastAsiaTheme="minorEastAsia"/>
                <w:sz w:val="24"/>
                <w:szCs w:val="24"/>
                <w:lang w:val="en-US" w:eastAsia="zh-CN"/>
              </w:rPr>
            </w:pPr>
            <w:r>
              <w:rPr>
                <w:rFonts w:hint="eastAsia" w:ascii="仿宋" w:hAnsi="仿宋" w:eastAsia="仿宋" w:cs="仿宋"/>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2" w:hRule="atLeast"/>
        </w:trPr>
        <w:tc>
          <w:tcPr>
            <w:tcW w:w="8663" w:type="dxa"/>
            <w:gridSpan w:val="7"/>
            <w:vAlign w:val="top"/>
          </w:tcPr>
          <w:p>
            <w:pPr>
              <w:snapToGrid w:val="0"/>
              <w:rPr>
                <w:rFonts w:hint="eastAsia" w:ascii="宋体" w:hAnsi="宋体"/>
                <w:sz w:val="24"/>
                <w:szCs w:val="24"/>
              </w:rPr>
            </w:pPr>
            <w:r>
              <w:rPr>
                <w:rFonts w:hint="eastAsia" w:ascii="宋体" w:hAnsi="宋体"/>
                <w:sz w:val="24"/>
                <w:szCs w:val="24"/>
              </w:rPr>
              <w:t>指导教师承担科研课题情况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rPr>
              <w:t>2014年，基于服务补救理论的长沙市现代旅游服务业发展研究，省教育厅优秀青年项目，主</w:t>
            </w:r>
            <w:r>
              <w:rPr>
                <w:rFonts w:hint="eastAsia" w:ascii="仿宋" w:hAnsi="仿宋" w:eastAsia="仿宋" w:cs="仿宋"/>
                <w:color w:val="000000"/>
                <w:spacing w:val="-6"/>
                <w:sz w:val="24"/>
                <w:szCs w:val="24"/>
                <w:lang w:val="en-US" w:eastAsia="zh-CN"/>
              </w:rPr>
              <w:t>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2012年，酒店管理专业教学团队创新机制研究，中南林业科技大学教改项目，主持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color w:val="000000"/>
                <w:spacing w:val="-6"/>
                <w:sz w:val="24"/>
                <w:szCs w:val="24"/>
              </w:rPr>
              <w:t>2010年，长沙市低星级酒店经营管理发展趋势研究，</w:t>
            </w:r>
            <w:r>
              <w:rPr>
                <w:rFonts w:hint="eastAsia" w:ascii="仿宋" w:hAnsi="仿宋" w:eastAsia="仿宋" w:cs="仿宋"/>
                <w:sz w:val="24"/>
                <w:szCs w:val="24"/>
              </w:rPr>
              <w:t>省教育厅项目，主持</w:t>
            </w:r>
          </w:p>
          <w:p>
            <w:pPr>
              <w:snapToGrid w:val="0"/>
              <w:rPr>
                <w:rFonts w:hint="eastAsia" w:ascii="宋体" w:hAnsi="宋体"/>
                <w:sz w:val="24"/>
                <w:szCs w:val="24"/>
              </w:rPr>
            </w:pPr>
            <w:r>
              <w:rPr>
                <w:rFonts w:hint="eastAsia" w:ascii="仿宋" w:hAnsi="仿宋" w:eastAsia="仿宋" w:cs="仿宋"/>
                <w:sz w:val="24"/>
                <w:szCs w:val="24"/>
              </w:rPr>
              <w:t>2010年，中国</w:t>
            </w:r>
            <w:r>
              <w:rPr>
                <w:rFonts w:hint="eastAsia" w:ascii="仿宋" w:hAnsi="仿宋" w:eastAsia="仿宋" w:cs="仿宋"/>
                <w:color w:val="000000"/>
                <w:sz w:val="24"/>
                <w:szCs w:val="24"/>
                <w:lang w:val="zh-CN"/>
              </w:rPr>
              <w:t>湖南青少年社会心理需求调查，</w:t>
            </w:r>
            <w:r>
              <w:rPr>
                <w:rFonts w:hint="eastAsia" w:ascii="仿宋" w:hAnsi="仿宋" w:eastAsia="仿宋" w:cs="仿宋"/>
                <w:sz w:val="24"/>
                <w:szCs w:val="24"/>
              </w:rPr>
              <w:t>美国阿拉巴马州奥本大学科研项目，国内排名第一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8663" w:type="dxa"/>
            <w:gridSpan w:val="7"/>
            <w:tcBorders>
              <w:top w:val="single" w:color="auto" w:sz="4" w:space="0"/>
              <w:left w:val="single" w:color="auto" w:sz="4" w:space="0"/>
              <w:bottom w:val="single" w:color="auto" w:sz="4" w:space="0"/>
              <w:right w:val="single" w:color="auto" w:sz="4" w:space="0"/>
            </w:tcBorders>
            <w:vAlign w:val="top"/>
          </w:tcPr>
          <w:p>
            <w:pPr>
              <w:snapToGrid w:val="0"/>
              <w:rPr>
                <w:rFonts w:hint="eastAsia" w:ascii="宋体" w:hAnsi="宋体"/>
                <w:sz w:val="24"/>
                <w:szCs w:val="24"/>
              </w:rPr>
            </w:pPr>
            <w:r>
              <w:rPr>
                <w:rFonts w:hint="eastAsia" w:ascii="宋体" w:hAnsi="宋体"/>
                <w:sz w:val="24"/>
                <w:szCs w:val="24"/>
              </w:rPr>
              <w:t>项目研究和实验的目的、内容和要解决的主要问题</w:t>
            </w:r>
          </w:p>
          <w:p>
            <w:pPr>
              <w:snapToGrid w:val="0"/>
              <w:rPr>
                <w:rFonts w:hint="eastAsia" w:ascii="仿宋" w:hAnsi="仿宋" w:eastAsia="仿宋" w:cs="仿宋"/>
                <w:sz w:val="24"/>
              </w:rPr>
            </w:pPr>
            <w:r>
              <w:rPr>
                <w:rFonts w:hint="eastAsia" w:ascii="仿宋" w:hAnsi="仿宋" w:eastAsia="仿宋" w:cs="仿宋"/>
                <w:sz w:val="24"/>
              </w:rPr>
              <w:t>目的：1.提升展馆周边商务服务。需要进一步加强对这一带商务设施及配套的建设力度，突出其已有的商务功能，提升参展商的满意度，从而将商务服务设施转化为各会展中心展览环境的主要优势。另外也应该采取一定的措施继续强化会展中心周边的商业氛围，将各会展中心周边的区域切实打造成会展商务服务功能区。</w:t>
            </w:r>
          </w:p>
          <w:p>
            <w:pPr>
              <w:snapToGrid w:val="0"/>
              <w:rPr>
                <w:rFonts w:hint="eastAsia" w:ascii="仿宋" w:hAnsi="仿宋" w:eastAsia="仿宋" w:cs="仿宋"/>
                <w:sz w:val="24"/>
              </w:rPr>
            </w:pPr>
            <w:r>
              <w:rPr>
                <w:rFonts w:hint="eastAsia" w:ascii="仿宋" w:hAnsi="仿宋" w:eastAsia="仿宋" w:cs="仿宋"/>
                <w:sz w:val="24"/>
              </w:rPr>
              <w:t xml:space="preserve">      2.围绕“建设中部会展名城”这一中心，抓住长沙市委、市政府关于建设“区域性消费中心”和“国际文化名城”这一契机，在长株潭融城核心地段兴建一处大型展馆，其展览面积至少在20万平方米以上，并大力培育本土品牌，着力提升会展服务水平。从涉及产业来看，新展馆的会展活动可包含汽车、房产、服装、食品、教育、农副产品、节能、环保、建材、家具等。</w:t>
            </w:r>
          </w:p>
          <w:p>
            <w:pPr>
              <w:snapToGrid w:val="0"/>
              <w:rPr>
                <w:rFonts w:hint="eastAsia" w:ascii="仿宋" w:hAnsi="仿宋" w:eastAsia="仿宋" w:cs="仿宋"/>
                <w:sz w:val="24"/>
              </w:rPr>
            </w:pPr>
            <w:r>
              <w:rPr>
                <w:rFonts w:hint="eastAsia" w:ascii="仿宋" w:hAnsi="仿宋" w:eastAsia="仿宋" w:cs="仿宋"/>
                <w:sz w:val="24"/>
              </w:rPr>
              <w:t xml:space="preserve">      3.建设档次高、面积大、科技含量高的展览馆，尤为重要的是，必须提高场馆的利用率，减少场馆的空置。至于场馆建设方面重点实施绿色节能环保产业战略，体现出“城市让生活更美好”的深层次含义。另外主要会议接待单位加入国际会议组织，努力形成一整套接待服务体系，而且还要强化现代网络技术的影响及宣传作用。</w:t>
            </w:r>
          </w:p>
          <w:p>
            <w:pPr>
              <w:snapToGrid w:val="0"/>
              <w:rPr>
                <w:rFonts w:hint="eastAsia" w:ascii="仿宋" w:hAnsi="仿宋" w:eastAsia="仿宋" w:cs="仿宋"/>
                <w:sz w:val="24"/>
              </w:rPr>
            </w:pPr>
          </w:p>
          <w:p>
            <w:pPr>
              <w:snapToGrid w:val="0"/>
              <w:rPr>
                <w:rFonts w:hint="eastAsia" w:ascii="仿宋" w:hAnsi="仿宋" w:eastAsia="仿宋" w:cs="仿宋"/>
                <w:sz w:val="24"/>
              </w:rPr>
            </w:pPr>
          </w:p>
          <w:p>
            <w:pPr>
              <w:widowControl/>
              <w:jc w:val="left"/>
              <w:rPr>
                <w:rFonts w:hint="eastAsia" w:ascii="仿宋" w:hAnsi="仿宋" w:eastAsia="仿宋" w:cs="仿宋"/>
                <w:kern w:val="0"/>
                <w:sz w:val="24"/>
                <w:lang w:bidi="ar"/>
              </w:rPr>
            </w:pPr>
            <w:r>
              <w:rPr>
                <w:rFonts w:hint="eastAsia" w:ascii="仿宋" w:hAnsi="仿宋" w:eastAsia="仿宋" w:cs="仿宋"/>
                <w:sz w:val="24"/>
              </w:rPr>
              <w:t>内容：1.</w:t>
            </w:r>
            <w:r>
              <w:rPr>
                <w:rFonts w:hint="eastAsia" w:ascii="仿宋" w:hAnsi="仿宋" w:eastAsia="仿宋" w:cs="仿宋"/>
                <w:kern w:val="0"/>
                <w:sz w:val="24"/>
                <w:lang w:bidi="ar"/>
              </w:rPr>
              <w:t>湖南各会展中心由于规模的限制，所办展览在展会品牌与规模上与国际知名展览相比毫无竞争力，展会品牌知名度不高，另外展台设计服务、展台搭建服务和主办方服务等展览相关服务远远不能达到参展商的期望和要求，这些是湖南各会展中心展览环境中所存在的较严重问题。</w:t>
            </w:r>
          </w:p>
          <w:p>
            <w:pPr>
              <w:widowControl/>
              <w:jc w:val="left"/>
              <w:rPr>
                <w:rFonts w:ascii="宋体" w:hAnsi="宋体" w:cs="宋体"/>
                <w:kern w:val="0"/>
                <w:sz w:val="24"/>
                <w:lang w:bidi="ar"/>
              </w:rPr>
            </w:pPr>
            <w:r>
              <w:rPr>
                <w:rFonts w:hint="eastAsia" w:ascii="仿宋" w:hAnsi="仿宋" w:eastAsia="仿宋" w:cs="仿宋"/>
                <w:kern w:val="0"/>
                <w:sz w:val="24"/>
                <w:lang w:bidi="ar"/>
              </w:rPr>
              <w:t xml:space="preserve">      2.湖南在交通方面的基础设施已日趋完善，但交通拥挤问题仍然存在给展览期间展品的运输和参展商工作带来诸多不便，进而影响到参展商对湖南各会展中心展览环境的印象与评价</w:t>
            </w:r>
            <w:r>
              <w:rPr>
                <w:rFonts w:ascii="宋体" w:hAnsi="宋体" w:cs="宋体"/>
                <w:kern w:val="0"/>
                <w:sz w:val="24"/>
                <w:lang w:bidi="ar"/>
              </w:rPr>
              <w:t>。</w:t>
            </w:r>
          </w:p>
          <w:p>
            <w:pPr>
              <w:widowControl/>
              <w:jc w:val="left"/>
            </w:pPr>
            <w:r>
              <w:rPr>
                <w:rFonts w:hint="eastAsia" w:ascii="宋体" w:hAnsi="宋体" w:cs="宋体"/>
                <w:kern w:val="0"/>
                <w:sz w:val="24"/>
                <w:lang w:bidi="ar"/>
              </w:rPr>
              <w:t xml:space="preserve">      3.</w:t>
            </w:r>
            <w:r>
              <w:rPr>
                <w:rFonts w:hint="eastAsia" w:ascii="仿宋" w:hAnsi="仿宋" w:eastAsia="仿宋" w:cs="仿宋"/>
                <w:kern w:val="0"/>
                <w:sz w:val="24"/>
                <w:lang w:bidi="ar"/>
              </w:rPr>
              <w:t>会展中心作为展览会举办的载体是展览会期间参展商和观众高度聚集的地方。因而湖南各会展中心周边应建有完备的商务服务设施，以满足参展商和观众这些商务客人在工作和其他方面的一些特定需要。有些会展中心周边的商务设施和商务功能虽已完备，但总体而言仍不十分成熟，数量较少，覆盖类型比较单一。</w:t>
            </w:r>
          </w:p>
          <w:p>
            <w:pPr>
              <w:rPr>
                <w:rFonts w:hint="eastAsia" w:ascii="仿宋" w:hAnsi="仿宋" w:eastAsia="仿宋" w:cs="仿宋"/>
                <w:sz w:val="24"/>
              </w:rPr>
            </w:pPr>
            <w:r>
              <w:rPr>
                <w:rFonts w:hint="eastAsia" w:ascii="宋体" w:hAnsi="宋体" w:cs="宋体"/>
                <w:kern w:val="0"/>
                <w:sz w:val="24"/>
                <w:lang w:bidi="ar"/>
              </w:rPr>
              <w:t xml:space="preserve">     </w:t>
            </w:r>
            <w:r>
              <w:rPr>
                <w:rFonts w:hint="eastAsia" w:ascii="仿宋" w:hAnsi="仿宋" w:eastAsia="仿宋" w:cs="仿宋"/>
                <w:kern w:val="0"/>
                <w:sz w:val="24"/>
                <w:lang w:bidi="ar"/>
              </w:rPr>
              <w:t xml:space="preserve"> 4</w:t>
            </w:r>
            <w:r>
              <w:rPr>
                <w:rFonts w:hint="eastAsia" w:ascii="宋体" w:hAnsi="宋体" w:cs="宋体"/>
                <w:kern w:val="0"/>
                <w:sz w:val="24"/>
                <w:lang w:bidi="ar"/>
              </w:rPr>
              <w:t>.</w:t>
            </w:r>
            <w:r>
              <w:rPr>
                <w:rFonts w:hint="eastAsia" w:ascii="仿宋" w:hAnsi="仿宋" w:eastAsia="仿宋" w:cs="仿宋"/>
                <w:sz w:val="24"/>
              </w:rPr>
              <w:t>此外，长沙会展规划相对滞后，场馆利用不足。配套软环境建设普遍重视不够，缺乏专业管理水平，服务不规范，工作不到位，与城市规划建设不相调。会展活动数量和使用率明显不够。</w:t>
            </w:r>
          </w:p>
          <w:p>
            <w:pPr>
              <w:numPr>
                <w:ilvl w:val="0"/>
                <w:numId w:val="1"/>
              </w:numPr>
              <w:rPr>
                <w:rFonts w:hint="eastAsia" w:ascii="仿宋" w:hAnsi="仿宋" w:eastAsia="仿宋" w:cs="仿宋"/>
                <w:sz w:val="24"/>
                <w:lang w:val="en-US" w:eastAsia="zh-CN"/>
              </w:rPr>
            </w:pPr>
            <w:r>
              <w:rPr>
                <w:rFonts w:hint="eastAsia" w:ascii="仿宋" w:hAnsi="仿宋" w:eastAsia="仿宋" w:cs="仿宋"/>
                <w:sz w:val="24"/>
                <w:lang w:val="en-US" w:eastAsia="zh-CN"/>
              </w:rPr>
              <w:t>长沙各大展馆的对比：</w:t>
            </w:r>
          </w:p>
          <w:p>
            <w:pPr>
              <w:spacing w:beforeLines="0" w:afterLines="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1）</w:t>
            </w:r>
            <w:r>
              <w:rPr>
                <w:rFonts w:hint="eastAsia" w:ascii="仿宋" w:hAnsi="仿宋" w:eastAsia="仿宋" w:cs="仿宋"/>
                <w:sz w:val="24"/>
                <w:lang w:val="zh-CN"/>
              </w:rPr>
              <w:t>湖南国际会展中心简介功能设施：湖南国际会展中心由湖南广播影视集团投资兴建，湖南卫视托管经营，是华中地区最大规模集现代建筑艺术、服务设施于一体的高科技智能化、现代化专业展览场馆。展馆总建筑面积100，000平方米，展厅面积50，000平方米，可设国际标准展位2，000个，可同时举办500—1000个展位的展览三个,也可根据需要分隔大小各异的多样展区。国际会议区拥有25套不同规格的会议厅，其同声翻译、多媒体演播系统设施堪称一流。能容纳20，000余人的多功能厅是目前中国最大的室内文化广场，适合举办展览、会议、庆典、文艺演出及体育竞赛等各种大型活动。展馆辅助用房设有新闻发布中心、商务中心、邮电、银行、超市、咖啡厅和贵宾休息厅等。室外广场10万平方米，室内户外停车泊2万多个。湖南国际会展中心位于长沙市金鹰影视文化城内，东距黄花国际机场20分钟车程，南距长沙火车站10分钟车程，距市中心15分钟车程，两条高流量的交通主干道贯穿于场馆外围，交通十分便利。展馆各种服务设施一应俱全，设施先进，功能齐备，有五星级渡假式花园酒店，有环境优美的生态主题观光公园，毗临世界之窗、海底世界、湖南广播电视中心和星沙经济开发区，是举办大型展览、国际会议、演出活动、文化节庆、体育竞赛的最佳场所。</w:t>
            </w:r>
          </w:p>
          <w:p>
            <w:pPr>
              <w:spacing w:beforeLines="0" w:afterLines="0"/>
              <w:ind w:firstLine="443"/>
              <w:rPr>
                <w:rFonts w:hint="eastAsia" w:ascii="仿宋" w:hAnsi="仿宋" w:eastAsia="仿宋" w:cs="仿宋"/>
                <w:sz w:val="24"/>
                <w:lang w:val="zh-CN"/>
              </w:rPr>
            </w:pPr>
            <w:r>
              <w:rPr>
                <w:rFonts w:hint="eastAsia" w:ascii="仿宋" w:hAnsi="仿宋" w:eastAsia="仿宋" w:cs="仿宋"/>
                <w:sz w:val="24"/>
                <w:lang w:val="zh-CN"/>
              </w:rPr>
              <w:t>作为全国唯一一个以强势媒体为依托优势的会展场馆，湖南国际会展中心将借助湖南卫视这一超强的传播平台，依靠强有力的产业支撑，凭借国际化、现代化、专业化的经营管理模式，精良、精干、精心的标准化服务，齐全、先进、专业的配套设施，为国内外客商提供一个高水平、高效益、全方位、立体化的强力整合平台。</w:t>
            </w:r>
          </w:p>
          <w:p>
            <w:pPr>
              <w:spacing w:beforeLines="0" w:afterLines="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2）</w:t>
            </w:r>
            <w:r>
              <w:rPr>
                <w:rFonts w:hint="eastAsia" w:ascii="仿宋" w:hAnsi="仿宋" w:eastAsia="仿宋" w:cs="仿宋"/>
                <w:sz w:val="24"/>
                <w:lang w:val="zh-CN"/>
              </w:rPr>
              <w:t xml:space="preserve">  红星国际会展中心是长沙的一个标志性建筑，是一个经济发展和对外经济交流的形象窗口，是一个高标准、大规模、多功能的大型现代化展览场馆。</w:t>
            </w:r>
          </w:p>
          <w:p>
            <w:pPr>
              <w:spacing w:beforeLines="0" w:afterLines="0"/>
              <w:ind w:firstLine="443"/>
              <w:rPr>
                <w:rFonts w:hint="eastAsia" w:ascii="仿宋" w:hAnsi="仿宋" w:eastAsia="仿宋" w:cs="仿宋"/>
                <w:sz w:val="24"/>
                <w:lang w:val="zh-CN"/>
              </w:rPr>
            </w:pPr>
            <w:r>
              <w:rPr>
                <w:rFonts w:hint="eastAsia" w:ascii="仿宋" w:hAnsi="仿宋" w:eastAsia="仿宋" w:cs="仿宋"/>
                <w:sz w:val="24"/>
                <w:lang w:val="zh-CN"/>
              </w:rPr>
              <w:t>红星国际会展中心地处湖南省政治、经济、文化中心——长沙的南大门，位于107国道、京珠高速李家塘出口道路的交汇处，属“长株潭”金三角地带，与省政府新址毗邻。地理位置优越、交通发达。由会展中心到黄花国际机场、长沙火车站、长沙汽车南站以及韶山路沿线的高中低档宾馆、酒店的交通十分方便，是承办大型会展的理想场所。中心一期工程总面积4.8万平方米，共设5层：其中地下1层，地上4层，可提供1500个国际标准展位。是一个集商品展示、经贸洽谈、文化演出、大型宴会等各种国内外会议的多功能为一体的现代化场所。全馆配有先进的中央空调、自动消防系统、综合布线系统、程控电话系统、有线电视系统等。同时拥有休闲区、商务中心、信息中心、贵宾接待室、签约室、环绕展馆的3万平方米的露天广场，是目前国内大型的国际标准展馆之一。</w:t>
            </w:r>
          </w:p>
          <w:p>
            <w:pPr>
              <w:numPr>
                <w:ilvl w:val="0"/>
                <w:numId w:val="2"/>
              </w:numPr>
              <w:spacing w:beforeLines="0" w:afterLines="0"/>
              <w:rPr>
                <w:rFonts w:hint="eastAsia" w:ascii="仿宋" w:hAnsi="仿宋" w:eastAsia="仿宋" w:cs="仿宋"/>
                <w:sz w:val="24"/>
                <w:lang w:val="zh-CN"/>
              </w:rPr>
            </w:pPr>
            <w:r>
              <w:rPr>
                <w:rFonts w:hint="eastAsia" w:ascii="仿宋" w:hAnsi="仿宋" w:eastAsia="仿宋" w:cs="仿宋"/>
                <w:sz w:val="24"/>
                <w:lang w:val="zh-CN"/>
              </w:rPr>
              <w:t>长沙贺龙体育中心是中国第一座以国家领导人的名字命名的大型综合性体育场馆。中心位于长沙市天心区，占地1000多亩，东临芙蓉路、南接劳动路、西依白沙路、北濒城南路，地理位置优越，交通便利。中心由贺龙体育场、网球俱乐部、大型商场、大型停车场、体育宾馆、摩天轮游乐中心、足球田径附场以及东广场、南广场、北广场、火炬塔等一大批体育文化设施组成，总投资12亿元。中心设计新颖，设施先进，功能齐全，是集体育竞技、大型演出、展会展览、休闲娱乐、健身锻炼、观光购物为一体的多功能体育中心。中心全面推行企业化管理、市场化经营，已经通过IS09001:2000国际质量体系认证。</w:t>
            </w:r>
          </w:p>
          <w:p>
            <w:pPr>
              <w:spacing w:beforeLines="0" w:afterLines="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湖南省展览馆是中国展览馆协会的理事会员馆。她位于长沙市中心地区，地理位置优越。展览大厅共有四层，展厅内现有可展出面积12000平方米，可搭建国际标准展位450个，年均办展次数为40多个，在整个长沙市展览份额中占相当大的比例。有中、小型会议室以及与展览配套的其他辅助设施，具有承办各类中型展览、展销会和精品展会的条件和能力，是湖南省会长沙经济、文化交流的重要窗口。</w:t>
            </w:r>
          </w:p>
          <w:p>
            <w:pPr>
              <w:spacing w:beforeLines="0" w:afterLines="0"/>
              <w:rPr>
                <w:rFonts w:hint="eastAsia" w:ascii="仿宋" w:hAnsi="仿宋" w:eastAsia="仿宋" w:cs="仿宋"/>
                <w:sz w:val="24"/>
                <w:lang w:val="zh-CN"/>
              </w:rPr>
            </w:pPr>
            <w:r>
              <w:rPr>
                <w:rFonts w:hint="eastAsia" w:ascii="仿宋" w:hAnsi="仿宋" w:eastAsia="仿宋" w:cs="仿宋"/>
                <w:sz w:val="24"/>
                <w:lang w:val="zh-CN"/>
              </w:rPr>
              <w:t xml:space="preserve">  展览馆毗邻长沙市中央商务区、烈士公园、古玩一条街、省博物馆、人民体育场、长沙市博物馆，环境优雅；与市区主要道路纵横贯通，市区主干道营盘东路、芙蓉路、东风路、清水塘路与之交汇，交通十分便利、快捷；周围有多家高、中、低档宾馆、酒店及金融、通信、商业和餐饮、娱乐设施，为会展商务提供了极为便利的条件。热忱欢迎各界朋友前来办参展、洽谈贸易，共图发展。</w:t>
            </w:r>
          </w:p>
          <w:p>
            <w:pPr>
              <w:spacing w:beforeLines="0" w:afterLines="0"/>
              <w:rPr>
                <w:rFonts w:hint="eastAsia" w:ascii="仿宋" w:hAnsi="仿宋" w:eastAsia="仿宋" w:cs="仿宋"/>
                <w:sz w:val="24"/>
                <w:lang w:val="zh-CN"/>
              </w:rPr>
            </w:pPr>
            <w:r>
              <w:rPr>
                <w:rFonts w:hint="eastAsia" w:ascii="仿宋" w:hAnsi="仿宋" w:eastAsia="仿宋" w:cs="仿宋"/>
                <w:sz w:val="24"/>
                <w:lang w:val="en-US" w:eastAsia="zh-CN"/>
              </w:rPr>
              <w:t>（5）</w:t>
            </w:r>
            <w:r>
              <w:rPr>
                <w:rFonts w:hint="eastAsia" w:ascii="仿宋" w:hAnsi="仿宋" w:eastAsia="仿宋" w:cs="仿宋"/>
                <w:sz w:val="24"/>
                <w:lang w:val="zh-CN"/>
              </w:rPr>
              <w:t xml:space="preserve"> 湘才国际会展中心于2003年经省政府批准立项，2006年4月26日奠基动工，2008年9月竣工，10月6日搬入新址试运行。占地面积65亩，建筑面积（每层）34500m2，使用面积10000 m2，可搭建标准展位500个，一楼展厅面积5000 m2，可设200余个国际标准展位；二楼展厅面积5000 m2，可设200余个国际标准展位；安全通道6个，地下室人防室对外通道4个。湘才国际会展中心位于长沙市雨花区湘府中路168号，地处长沙市南部新城中心地带，东融红星商业圈，西临省府新址，湘府路穿境而过，将高升黄金分割成南北两块，目前在建的有德思勤商业广场，将更大程度的促进该区域经济发展。</w:t>
            </w:r>
          </w:p>
          <w:p>
            <w:pPr>
              <w:numPr>
                <w:numId w:val="0"/>
              </w:numPr>
              <w:spacing w:beforeLines="0" w:afterLines="0"/>
              <w:rPr>
                <w:rFonts w:hint="eastAsia" w:ascii="仿宋" w:hAnsi="仿宋" w:eastAsia="仿宋" w:cs="仿宋"/>
                <w:sz w:val="24"/>
                <w:lang w:val="en-US" w:eastAsia="zh-CN"/>
              </w:rPr>
            </w:pPr>
            <w:r>
              <w:rPr>
                <w:rFonts w:hint="eastAsia" w:ascii="仿宋" w:hAnsi="仿宋" w:eastAsia="仿宋" w:cs="仿宋"/>
                <w:sz w:val="24"/>
                <w:lang w:val="en-US" w:eastAsia="zh-CN"/>
              </w:rPr>
              <w:t>6.长沙新展馆的基本情况：</w:t>
            </w:r>
          </w:p>
          <w:p>
            <w:pPr>
              <w:keepNext w:val="0"/>
              <w:keepLines w:val="0"/>
              <w:widowControl/>
              <w:suppressLineNumbers w:val="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近年来，长沙会展业得到了较快发展，已经成为中西部地区最重要的会展城市之一，但是场馆设施相对落后，已成为制约长沙现代会展业发展的瓶颈。新展馆的建立将带动长沙会展的稳步发展。</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 xml:space="preserve">   据介绍，会展中心方案建筑设计平面共12个展馆、2个登录厅，总建筑面积约43.3万平方米。其中，地上面积约30.1万平方米，室内净展示面积17.75万平方米，室外净展示面积8.5万平方米，单个展厅面积约1.45万平方米；场馆设置有小车停停车位3100个，大货车（大巴）停车位550个。</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 xml:space="preserve">   项目总投资约60亿元，分两期建设。目前展馆可研、初步设计、地质详勘等前期工作已经完成。今年将全面启动会展中心场馆、片区主要道路及片区其他基础设施配套、会展中心配套项目的建设，2016年底会展馆开始运营。</w:t>
            </w:r>
          </w:p>
          <w:p>
            <w:pPr>
              <w:keepNext w:val="0"/>
              <w:keepLines w:val="0"/>
              <w:widowControl/>
              <w:suppressLineNumbers w:val="0"/>
              <w:jc w:val="left"/>
              <w:rPr>
                <w:rFonts w:hint="eastAsia" w:ascii="仿宋" w:hAnsi="仿宋" w:eastAsia="仿宋" w:cs="仿宋"/>
                <w:kern w:val="0"/>
                <w:sz w:val="24"/>
                <w:szCs w:val="24"/>
                <w:lang w:val="en-US" w:eastAsia="zh-CN" w:bidi="ar"/>
              </w:rPr>
            </w:pPr>
          </w:p>
          <w:p>
            <w:pPr>
              <w:rPr>
                <w:rFonts w:hint="eastAsia" w:ascii="仿宋" w:hAnsi="仿宋" w:eastAsia="仿宋" w:cs="仿宋"/>
                <w:sz w:val="24"/>
              </w:rPr>
            </w:pPr>
            <w:r>
              <w:rPr>
                <w:rFonts w:hint="eastAsia" w:ascii="仿宋" w:hAnsi="仿宋" w:eastAsia="仿宋" w:cs="仿宋"/>
                <w:sz w:val="24"/>
              </w:rPr>
              <w:t>解决的主要问题：长沙市</w:t>
            </w:r>
            <w:r>
              <w:rPr>
                <w:rFonts w:hint="eastAsia" w:ascii="仿宋" w:hAnsi="仿宋" w:eastAsia="仿宋" w:cs="仿宋"/>
                <w:sz w:val="24"/>
                <w:lang w:val="en-US" w:eastAsia="zh-CN"/>
              </w:rPr>
              <w:t>大部分</w:t>
            </w:r>
            <w:r>
              <w:rPr>
                <w:rFonts w:hint="eastAsia" w:ascii="仿宋" w:hAnsi="仿宋" w:eastAsia="仿宋" w:cs="仿宋"/>
                <w:sz w:val="24"/>
              </w:rPr>
              <w:t>会展场馆的规模</w:t>
            </w:r>
            <w:r>
              <w:rPr>
                <w:rFonts w:hint="eastAsia" w:ascii="仿宋" w:hAnsi="仿宋" w:eastAsia="仿宋" w:cs="仿宋"/>
                <w:sz w:val="24"/>
                <w:lang w:val="en-US" w:eastAsia="zh-CN"/>
              </w:rPr>
              <w:t>不大</w:t>
            </w:r>
            <w:r>
              <w:rPr>
                <w:rFonts w:hint="eastAsia" w:ascii="仿宋" w:hAnsi="仿宋" w:eastAsia="仿宋" w:cs="仿宋"/>
                <w:sz w:val="24"/>
              </w:rPr>
              <w:t>，标准不高，展台设计服务，展台搭建服务不够完善，展馆周边交通问题严重，硬件设施不过关，场馆利用率不高，参展商素质不高，会展场馆内秩序混乱，亟待解决。</w:t>
            </w:r>
          </w:p>
          <w:p>
            <w:pPr>
              <w:keepNext w:val="0"/>
              <w:keepLines w:val="0"/>
              <w:widowControl/>
              <w:suppressLineNumbers w:val="0"/>
              <w:jc w:val="left"/>
              <w:rPr>
                <w:rFonts w:hint="eastAsia" w:ascii="仿宋" w:hAnsi="仿宋" w:eastAsia="仿宋" w:cs="仿宋"/>
                <w:kern w:val="0"/>
                <w:sz w:val="24"/>
                <w:szCs w:val="24"/>
                <w:lang w:val="en-US" w:eastAsia="zh-CN" w:bidi="ar"/>
              </w:rPr>
            </w:pPr>
          </w:p>
          <w:p>
            <w:pPr>
              <w:keepNext w:val="0"/>
              <w:keepLines w:val="0"/>
              <w:widowControl/>
              <w:suppressLineNumbers w:val="0"/>
              <w:jc w:val="left"/>
              <w:rPr>
                <w:rFonts w:hint="eastAsia" w:ascii="仿宋" w:hAnsi="仿宋" w:eastAsia="仿宋" w:cs="仿宋"/>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8663" w:type="dxa"/>
            <w:gridSpan w:val="7"/>
            <w:tcBorders>
              <w:top w:val="single" w:color="auto" w:sz="4" w:space="0"/>
              <w:left w:val="single" w:color="auto" w:sz="4" w:space="0"/>
              <w:bottom w:val="single" w:color="auto" w:sz="4" w:space="0"/>
              <w:right w:val="single" w:color="auto" w:sz="4" w:space="0"/>
            </w:tcBorders>
            <w:vAlign w:val="top"/>
          </w:tcPr>
          <w:p>
            <w:pPr>
              <w:snapToGrid w:val="0"/>
              <w:rPr>
                <w:rFonts w:hint="eastAsia" w:ascii="宋体" w:hAnsi="宋体"/>
                <w:sz w:val="24"/>
                <w:szCs w:val="24"/>
              </w:rPr>
            </w:pPr>
            <w:r>
              <w:rPr>
                <w:rFonts w:hint="eastAsia" w:ascii="宋体" w:hAnsi="宋体"/>
                <w:sz w:val="24"/>
                <w:szCs w:val="24"/>
              </w:rPr>
              <w:t>国内外研究现状和发展动态</w:t>
            </w:r>
          </w:p>
          <w:p>
            <w:pPr>
              <w:snapToGrid w:val="0"/>
              <w:rPr>
                <w:rFonts w:hint="eastAsia" w:ascii="仿宋" w:hAnsi="仿宋" w:eastAsia="仿宋" w:cs="仿宋"/>
                <w:sz w:val="24"/>
                <w:szCs w:val="24"/>
                <w:lang w:eastAsia="zh-CN"/>
              </w:rPr>
            </w:pPr>
            <w:r>
              <w:rPr>
                <w:rFonts w:hint="eastAsia" w:ascii="仿宋" w:hAnsi="仿宋" w:eastAsia="仿宋" w:cs="仿宋"/>
                <w:sz w:val="24"/>
                <w:szCs w:val="24"/>
              </w:rPr>
              <w:t>我国会展场馆经营与管理现状</w:t>
            </w:r>
            <w:r>
              <w:rPr>
                <w:rFonts w:hint="eastAsia" w:ascii="仿宋" w:hAnsi="仿宋" w:eastAsia="仿宋" w:cs="仿宋"/>
                <w:sz w:val="24"/>
                <w:szCs w:val="24"/>
                <w:lang w:eastAsia="zh-CN"/>
              </w:rPr>
              <w:t>：</w:t>
            </w:r>
          </w:p>
          <w:p>
            <w:pPr>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t>1.数量增多，面积普遍较小</w:t>
            </w:r>
          </w:p>
          <w:p>
            <w:pPr>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t>随着会展业在我国区域经济的拉动效应中日益凸显，各地纷纷将发展会展业列入十一五计划当中，许多二线城市也纷纷建设会展场馆。然而，会展场馆的数量日益增多，展馆面积却普遍偏小，展馆设施也不全面。因此，很多展馆无法承接大型展会，只能闲置，也导致利润下降。</w:t>
            </w:r>
          </w:p>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2.多头行政管理模式</w:t>
            </w:r>
          </w:p>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现行的会展管理模式属于多头行政模式：政府没有统一的会展管理部门；不同展会根据其性质、内容、范围和规模的不同，分属不同的政府主管部门管理，即所谓的多头行政管理模式。管理方式主要是设置市场准入（主体资格）和项目审批。政府若干机构在行业管理中起主导作用，相互间缺乏协调配合。全国性的会展行业协会缺失。地方会展行业协会作用有限。</w:t>
            </w:r>
          </w:p>
          <w:p>
            <w:pPr>
              <w:numPr>
                <w:ilvl w:val="0"/>
                <w:numId w:val="3"/>
              </w:numPr>
              <w:snapToGrid w:val="0"/>
              <w:rPr>
                <w:rFonts w:hint="eastAsia" w:ascii="仿宋" w:hAnsi="仿宋" w:eastAsia="仿宋" w:cs="仿宋"/>
                <w:sz w:val="24"/>
                <w:lang w:val="en-US" w:eastAsia="zh-CN"/>
              </w:rPr>
            </w:pPr>
            <w:r>
              <w:rPr>
                <w:rFonts w:hint="eastAsia" w:ascii="仿宋" w:hAnsi="仿宋" w:eastAsia="仿宋" w:cs="仿宋"/>
                <w:sz w:val="24"/>
                <w:lang w:val="en-US" w:eastAsia="zh-CN"/>
              </w:rPr>
              <w:t>国内主要在于存在缺乏市场调研和准确的会展规模定位的问题，许多地方政府将会展场馆作为形象工程来建。在对场馆建设项目的可行性及所建场馆规模时，由于缺乏市场调研和科学的论证，不少地方盲目规划、仓促上阵，不考虑当地和周边城市会展市场的需求。这样所建成的会展场馆要么规模过大，展馆空置率很高；要么规模太小，用不了几年就得扩建和改造。不合理的规模导致严重浪费，影响了会展业的健康发展。</w:t>
            </w:r>
          </w:p>
          <w:p>
            <w:pPr>
              <w:numPr>
                <w:ilvl w:val="0"/>
                <w:numId w:val="3"/>
              </w:numPr>
              <w:snapToGrid w:val="0"/>
              <w:rPr>
                <w:rFonts w:hint="eastAsia" w:ascii="仿宋" w:hAnsi="仿宋" w:eastAsia="仿宋" w:cs="仿宋"/>
                <w:sz w:val="24"/>
                <w:lang w:val="en-US" w:eastAsia="zh-CN"/>
              </w:rPr>
            </w:pPr>
            <w:r>
              <w:rPr>
                <w:rFonts w:hint="eastAsia" w:ascii="仿宋" w:hAnsi="仿宋" w:eastAsia="仿宋" w:cs="仿宋"/>
                <w:sz w:val="24"/>
                <w:lang w:val="en-US" w:eastAsia="zh-CN"/>
              </w:rPr>
              <w:t>另外近几年来国内的场馆建设出现了数量增加与结构失衡并存的局面。我国东南沿海和长三角地区的场馆数量和面积占到了全国场馆数量的80%，但是对于西部省区至今为止没有一个国际化的展馆。同时由于近几年场馆的盲目建设，导致很多省会城市和二级城市有会展场馆，但是多数场馆面积偏小，专业化程度不高，出现了“只见森林，不见树木”的情况。这种场馆地区结构与面积结构双重性失衡一方面导致我国场馆面积总规模不断上升，利润下降；另一方面又由于场馆面积太小承接不到大型展会、产生大量空置的尴尬局面。</w:t>
            </w:r>
          </w:p>
          <w:p>
            <w:pPr>
              <w:widowControl w:val="0"/>
              <w:numPr>
                <w:numId w:val="0"/>
              </w:numPr>
              <w:snapToGrid w:val="0"/>
              <w:jc w:val="both"/>
              <w:rPr>
                <w:rFonts w:hint="eastAsia" w:ascii="仿宋" w:hAnsi="仿宋" w:eastAsia="仿宋" w:cs="仿宋"/>
                <w:sz w:val="24"/>
                <w:lang w:val="en-US" w:eastAsia="zh-CN"/>
              </w:rPr>
            </w:pPr>
          </w:p>
          <w:p>
            <w:pPr>
              <w:widowControl w:val="0"/>
              <w:numPr>
                <w:numId w:val="0"/>
              </w:numPr>
              <w:snapToGrid w:val="0"/>
              <w:jc w:val="both"/>
              <w:rPr>
                <w:rFonts w:hint="eastAsia" w:ascii="仿宋" w:hAnsi="仿宋" w:eastAsia="仿宋" w:cs="仿宋"/>
                <w:sz w:val="24"/>
                <w:lang w:val="en-US" w:eastAsia="zh-CN"/>
              </w:rPr>
            </w:pPr>
          </w:p>
          <w:p>
            <w:pPr>
              <w:widowControl w:val="0"/>
              <w:numPr>
                <w:numId w:val="0"/>
              </w:numPr>
              <w:snapToGrid w:val="0"/>
              <w:jc w:val="both"/>
              <w:rPr>
                <w:rFonts w:hint="eastAsia" w:ascii="仿宋" w:hAnsi="仿宋" w:eastAsia="仿宋" w:cs="仿宋"/>
                <w:sz w:val="24"/>
                <w:lang w:val="en-US" w:eastAsia="zh-CN"/>
              </w:rPr>
            </w:pPr>
            <w:r>
              <w:rPr>
                <w:rFonts w:hint="eastAsia" w:ascii="仿宋" w:hAnsi="仿宋" w:eastAsia="仿宋" w:cs="仿宋"/>
                <w:sz w:val="24"/>
                <w:lang w:val="en-US" w:eastAsia="zh-CN"/>
              </w:rPr>
              <w:t xml:space="preserve"> 国外会展场馆经营与管理现状：</w:t>
            </w:r>
          </w:p>
          <w:p>
            <w:pPr>
              <w:widowControl w:val="0"/>
              <w:numPr>
                <w:numId w:val="0"/>
              </w:numPr>
              <w:snapToGrid w:val="0"/>
              <w:jc w:val="both"/>
              <w:rPr>
                <w:rFonts w:hint="eastAsia" w:ascii="仿宋" w:hAnsi="仿宋" w:eastAsia="仿宋" w:cs="仿宋"/>
                <w:sz w:val="24"/>
                <w:lang w:val="en-US" w:eastAsia="zh-CN"/>
              </w:rPr>
            </w:pPr>
          </w:p>
          <w:p>
            <w:pPr>
              <w:numPr>
                <w:ilvl w:val="0"/>
                <w:numId w:val="4"/>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会展业在德、美、英、法、新加坡等发达国家发展较为成熟，已经具备适应国家经济大环境的经营管理模式和方法，其较为成功的管理模式为：公有国营的场馆经营与自办展结合模式、公有民营的纯场馆经营模式，行业协会对展览业发挥的强大的监督、管理、协调作用也不容忽视。</w:t>
            </w:r>
          </w:p>
          <w:p>
            <w:pPr>
              <w:numPr>
                <w:ilvl w:val="0"/>
                <w:numId w:val="4"/>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公有民营的场馆经营与自办展结合模式</w:t>
            </w:r>
          </w:p>
          <w:p>
            <w:pPr>
              <w:numPr>
                <w:numId w:val="0"/>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德国，德国经济展览会与博览会事务委员会(AUMA)，是政府进行宏观调控的唯一的会展管理机构，对每年的国内外博览会、展览会进行组织和协调。具体运作模式为：政府首先投资建立规模宏大的展馆，在确定产权归属国有的前提下，不直接参与场馆的日常运营，而是以长期租赁或委托经营的方式，把展馆的经营管理权授让给大型的会展公司，政府的职责主要体现在对行业的宏观调控方面。会展公司在获得国有展馆经营管理权后。扮演着展馆经营管理者和会展项目组织者的双重角色，即公有民营的场馆经营与自办展结合模式。目前，每年举办的国际性展会130多个，参展商150万家，参观人士1 000万人，著名的展会有柏林国际建筑贸易展、国际旅游展等。几十年来，德国会展业能在世界上一直独占鳌头，很大程度上归功于这种运作模式的成功实践。</w:t>
            </w:r>
          </w:p>
          <w:p>
            <w:pPr>
              <w:numPr>
                <w:ilvl w:val="0"/>
                <w:numId w:val="4"/>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公有民营的纯场馆经营模式</w:t>
            </w:r>
          </w:p>
          <w:p>
            <w:pPr>
              <w:numPr>
                <w:numId w:val="0"/>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国与德国同属会展业强国。海外会展委员会技术、工业和经济合作署(CFME—ACTIM)是代表法国政府行使宏观管理权的唯一的会展管理机构。具体运作模式：展馆设施由法国中央及地方政府投资兴建，然后组成国有场馆公司负责展馆的经营管理，只开展场馆服务业务，不进行会展项目的运营。展览公司不拥有展览设施，也不参与展馆经营，主要从事会展项目经营。对于这种“泾渭分明”的业务划分方式（即公有民营的纯场馆经营模式），法国行业主管部门认为，这能够促进会展公司之间的公平竞争，也有利于场馆经营者专心做好场馆服务工作，体现出比德国更细的社会分工，有利于提高会展服务专业水平。在具体会展项目中，会展公司采取与德国相同的方式，与各会展服务公司签订合同，将会展服务工作委托给会展专业服务公司代理，最终完成会展的运作。法国每年举办国际专业展有120个左右，参展企业50万家，参观商621万。著名的展会有SIAL食品展、SIM农业展等。</w:t>
            </w:r>
          </w:p>
          <w:p>
            <w:pPr>
              <w:numPr>
                <w:ilvl w:val="0"/>
                <w:numId w:val="4"/>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行业协会的监督、协调、管理发挥强大作用</w:t>
            </w:r>
          </w:p>
          <w:p>
            <w:pPr>
              <w:numPr>
                <w:numId w:val="0"/>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会展业中，很多国家会展行业协会对会展业的监督、管理、协调发挥出了强大的作用。例如加拿大目前的展览行业协会约有40多家，多为地方性协会。其中比较有影响的全国性协会有加拿大展览管理协会、加拿大展览协会等。其主要职能是：（1）制定行规，进行行业间协调和管理。（2）对展览会进行资质评估。（3）代言展览行业与各级政府联系，保证整个行业用一个声音说话。在政府制定有关税收等政策时，尽可能为会员公司或整个行业争取到最大的利益和最好的待遇。（4）加强信息交流和调研，促进展览市场的透明度。许多展览协会的权威性的刊物能全面、准确、详细地提供加拿大和世界各国的展览信息，并对已办的展览会进行客观公正的评估、提供详尽的统计数据。（5）进行专业人才培训，提高展览会的组织水平和质量。</w:t>
            </w:r>
          </w:p>
          <w:p>
            <w:pPr>
              <w:numPr>
                <w:numId w:val="0"/>
              </w:numPr>
              <w:snapToGrid w:val="0"/>
              <w:rPr>
                <w:rFonts w:hint="eastAsia" w:ascii="仿宋" w:hAnsi="仿宋" w:eastAsia="仿宋" w:cs="仿宋"/>
                <w:sz w:val="24"/>
                <w:szCs w:val="24"/>
                <w:lang w:val="en-US" w:eastAsia="zh-CN"/>
              </w:rPr>
            </w:pPr>
          </w:p>
          <w:p>
            <w:pPr>
              <w:numPr>
                <w:numId w:val="0"/>
              </w:numPr>
              <w:snapToGrid w:val="0"/>
              <w:rPr>
                <w:rFonts w:hint="eastAsia" w:ascii="仿宋" w:hAnsi="仿宋" w:eastAsia="仿宋" w:cs="仿宋"/>
                <w:sz w:val="24"/>
                <w:szCs w:val="24"/>
                <w:lang w:val="en-US" w:eastAsia="zh-CN"/>
              </w:rPr>
            </w:pPr>
          </w:p>
          <w:p>
            <w:pPr>
              <w:numPr>
                <w:numId w:val="0"/>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国内外研究现状参考文献：</w:t>
            </w:r>
          </w:p>
          <w:p>
            <w:pPr>
              <w:numPr>
                <w:numId w:val="0"/>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《发达国家展览场馆运营管理模式及其启示》  作者：施昌奎</w:t>
            </w:r>
          </w:p>
          <w:p>
            <w:pPr>
              <w:numPr>
                <w:numId w:val="0"/>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《论我国会展中心经营管理模式的构建 》     作者不详</w:t>
            </w:r>
          </w:p>
          <w:p>
            <w:pPr>
              <w:numPr>
                <w:numId w:val="0"/>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《中外会展业管理模式比较》作者：上海大学影视学院张敏、花勇</w:t>
            </w:r>
          </w:p>
          <w:p>
            <w:pPr>
              <w:numPr>
                <w:numId w:val="0"/>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《国内外场馆管理现状与投资管理模式分析》   作者：刘松萍</w:t>
            </w:r>
          </w:p>
          <w:p>
            <w:pPr>
              <w:numPr>
                <w:numId w:val="0"/>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《会展场馆经营模式发展趋势探析 》       作者：武晓芳</w:t>
            </w:r>
          </w:p>
          <w:p>
            <w:pPr>
              <w:numPr>
                <w:numId w:val="0"/>
              </w:num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《我国会展场馆建设现状与发展前景探析》    作者不详</w:t>
            </w:r>
          </w:p>
          <w:p>
            <w:pPr>
              <w:numPr>
                <w:numId w:val="0"/>
              </w:numPr>
              <w:snapToGrid w:val="0"/>
              <w:rPr>
                <w:rFonts w:hint="eastAsia" w:ascii="仿宋" w:hAnsi="仿宋" w:eastAsia="仿宋" w:cs="仿宋"/>
                <w:sz w:val="24"/>
                <w:szCs w:val="24"/>
                <w:lang w:val="en-US" w:eastAsia="zh-CN"/>
              </w:rPr>
            </w:pPr>
          </w:p>
          <w:p>
            <w:pPr>
              <w:snapToGrid w:val="0"/>
              <w:rPr>
                <w:rFonts w:hint="eastAsia" w:ascii="仿宋" w:hAnsi="仿宋" w:eastAsia="仿宋" w:cs="仿宋"/>
                <w:sz w:val="24"/>
                <w:szCs w:val="24"/>
                <w:lang w:val="en-US" w:eastAsia="zh-CN"/>
              </w:rPr>
            </w:pPr>
          </w:p>
          <w:p>
            <w:pPr>
              <w:snapToGrid w:val="0"/>
              <w:rPr>
                <w:rFonts w:hint="eastAsia" w:ascii="仿宋" w:hAnsi="仿宋" w:eastAsia="仿宋" w:cs="仿宋"/>
                <w:sz w:val="24"/>
                <w:szCs w:val="24"/>
                <w:lang w:val="en-US" w:eastAsia="zh-CN"/>
              </w:rPr>
            </w:pPr>
          </w:p>
          <w:p>
            <w:pPr>
              <w:snapToGrid w:val="0"/>
              <w:rPr>
                <w:rFonts w:hint="eastAsia" w:ascii="宋体" w:hAnsi="宋体"/>
                <w:sz w:val="24"/>
                <w:szCs w:val="24"/>
                <w:lang w:eastAsia="zh-CN"/>
              </w:rPr>
            </w:pPr>
          </w:p>
          <w:p>
            <w:pPr>
              <w:snapToGrid w:val="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8663" w:type="dxa"/>
            <w:gridSpan w:val="7"/>
            <w:tcBorders>
              <w:top w:val="single" w:color="auto" w:sz="4" w:space="0"/>
              <w:left w:val="single" w:color="auto" w:sz="4" w:space="0"/>
              <w:bottom w:val="single" w:color="auto" w:sz="4" w:space="0"/>
              <w:right w:val="single" w:color="auto" w:sz="4" w:space="0"/>
            </w:tcBorders>
            <w:vAlign w:val="top"/>
          </w:tcPr>
          <w:p>
            <w:pPr>
              <w:snapToGrid w:val="0"/>
              <w:rPr>
                <w:rFonts w:hint="eastAsia" w:ascii="宋体" w:hAnsi="宋体"/>
                <w:sz w:val="24"/>
                <w:szCs w:val="24"/>
              </w:rPr>
            </w:pPr>
            <w:r>
              <w:rPr>
                <w:rFonts w:hint="eastAsia" w:ascii="宋体" w:hAnsi="宋体"/>
                <w:sz w:val="24"/>
                <w:szCs w:val="24"/>
              </w:rPr>
              <w:t>本项目学生有关的研究积累和已取得的成绩</w:t>
            </w:r>
          </w:p>
          <w:p>
            <w:pPr>
              <w:snapToGrid w:val="0"/>
              <w:rPr>
                <w:rFonts w:hint="eastAsia" w:ascii="宋体" w:hAnsi="宋体"/>
                <w:sz w:val="24"/>
                <w:szCs w:val="24"/>
              </w:rPr>
            </w:pPr>
          </w:p>
          <w:p>
            <w:pPr>
              <w:snapToGrid w:val="0"/>
              <w:rPr>
                <w:rFonts w:hint="eastAsia" w:ascii="宋体" w:hAnsi="宋体" w:eastAsiaTheme="minorEastAsia"/>
                <w:sz w:val="24"/>
                <w:szCs w:val="24"/>
                <w:lang w:val="en-US" w:eastAsia="zh-CN"/>
              </w:rPr>
            </w:pPr>
            <w:r>
              <w:rPr>
                <w:rFonts w:hint="eastAsia" w:ascii="仿宋" w:hAnsi="仿宋" w:eastAsia="仿宋" w:cs="仿宋"/>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8663" w:type="dxa"/>
            <w:gridSpan w:val="7"/>
            <w:vAlign w:val="top"/>
          </w:tcPr>
          <w:p>
            <w:pPr>
              <w:spacing w:before="120"/>
              <w:ind w:right="57"/>
              <w:rPr>
                <w:rFonts w:hint="eastAsia" w:ascii="宋体" w:hAnsi="宋体"/>
                <w:b/>
                <w:sz w:val="24"/>
                <w:szCs w:val="24"/>
              </w:rPr>
            </w:pPr>
            <w:r>
              <w:rPr>
                <w:rFonts w:hint="eastAsia" w:ascii="宋体" w:hAnsi="宋体"/>
                <w:bCs/>
                <w:sz w:val="24"/>
                <w:szCs w:val="24"/>
              </w:rPr>
              <w:t>项目的创新点和特色</w:t>
            </w:r>
          </w:p>
          <w:p>
            <w:pPr>
              <w:rPr>
                <w:rFonts w:ascii="宋体" w:hAnsi="宋体"/>
                <w:sz w:val="24"/>
              </w:rPr>
            </w:pPr>
            <w:r>
              <w:rPr>
                <w:rFonts w:hint="eastAsia" w:ascii="仿宋" w:hAnsi="仿宋" w:eastAsia="仿宋"/>
                <w:sz w:val="24"/>
                <w:lang w:val="en-US" w:eastAsia="zh-CN"/>
              </w:rPr>
              <w:t xml:space="preserve">  </w:t>
            </w:r>
            <w:r>
              <w:rPr>
                <w:rFonts w:ascii="仿宋" w:hAnsi="仿宋" w:eastAsia="仿宋"/>
                <w:sz w:val="24"/>
              </w:rPr>
              <w:t>会展业作为新兴的朝阳产业，近几年在中国正处于快速发展阶段。长沙市会展业发展迅速，正处在由起步向成长期过渡阶段，长沙作为中部地区会展中心城市的地位呼之欲出</w:t>
            </w:r>
            <w:r>
              <w:rPr>
                <w:rFonts w:hint="eastAsia" w:ascii="仿宋" w:hAnsi="仿宋" w:eastAsia="仿宋"/>
                <w:sz w:val="24"/>
              </w:rPr>
              <w:t>。</w:t>
            </w:r>
            <w:r>
              <w:rPr>
                <w:rFonts w:ascii="仿宋" w:hAnsi="仿宋" w:eastAsia="仿宋"/>
                <w:sz w:val="24"/>
              </w:rPr>
              <w:t>会展场馆建设与会展业发展之间也存在着相似的关联关系。</w:t>
            </w:r>
            <w:r>
              <w:rPr>
                <w:rFonts w:hint="eastAsia" w:ascii="仿宋" w:hAnsi="仿宋" w:eastAsia="仿宋"/>
                <w:sz w:val="24"/>
              </w:rPr>
              <w:t xml:space="preserve"> </w:t>
            </w:r>
            <w:r>
              <w:rPr>
                <w:rFonts w:ascii="仿宋" w:hAnsi="仿宋" w:eastAsia="仿宋"/>
                <w:sz w:val="24"/>
              </w:rPr>
              <w:t>现如今国内主要在于存在缺乏市场调研和准确的会展规模定位问题，许多地方政府将会展场馆作为形象工程来建。而长沙市会展规划相对落后，场馆利用有效不足。</w:t>
            </w:r>
            <w:r>
              <w:rPr>
                <w:rFonts w:hint="eastAsia" w:ascii="仿宋" w:hAnsi="仿宋" w:eastAsia="仿宋" w:cs="仿宋"/>
                <w:sz w:val="24"/>
              </w:rPr>
              <w:t>随着长沙新展馆的建设和今年十月的投入使用，长沙会展业会有更好的基础条件，但新展馆的利用更应该从合理的角度来进行分析和研究，</w:t>
            </w:r>
            <w:bookmarkStart w:id="0" w:name="_GoBack"/>
            <w:bookmarkEnd w:id="0"/>
            <w:r>
              <w:rPr>
                <w:rFonts w:ascii="仿宋" w:hAnsi="仿宋" w:eastAsia="仿宋"/>
                <w:sz w:val="24"/>
              </w:rPr>
              <w:t>因而对长沙市会展场馆问题进行分析与研究，将有助于长沙市场馆建设与完善的过程中合理定位规模，改善场馆周边交通问题，提升场馆周边商务服务，建设档次高，面积大，技术含量高的展馆，进一步体现出“城市，让生活更美好”的深层含义。</w:t>
            </w:r>
          </w:p>
          <w:p>
            <w:pPr>
              <w:ind w:left="180"/>
              <w:rPr>
                <w:rFonts w:hint="eastAsia" w:ascii="宋体" w:hAnsi="宋体"/>
                <w:sz w:val="24"/>
                <w:szCs w:val="24"/>
              </w:rPr>
            </w:pPr>
          </w:p>
          <w:p>
            <w:pPr>
              <w:ind w:left="18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6" w:hRule="atLeast"/>
        </w:trPr>
        <w:tc>
          <w:tcPr>
            <w:tcW w:w="8663" w:type="dxa"/>
            <w:gridSpan w:val="7"/>
            <w:vAlign w:val="top"/>
          </w:tcPr>
          <w:p>
            <w:pPr>
              <w:rPr>
                <w:rFonts w:hint="eastAsia" w:ascii="宋体" w:hAnsi="宋体"/>
                <w:sz w:val="24"/>
                <w:szCs w:val="24"/>
              </w:rPr>
            </w:pPr>
            <w:r>
              <w:rPr>
                <w:rFonts w:hint="eastAsia" w:ascii="宋体" w:hAnsi="宋体"/>
                <w:sz w:val="24"/>
                <w:szCs w:val="24"/>
              </w:rPr>
              <w:t>项目的技术路线及预期成果</w:t>
            </w:r>
          </w:p>
          <w:p>
            <w:pPr>
              <w:rPr>
                <w:rFonts w:hint="eastAsia" w:ascii="仿宋" w:hAnsi="仿宋" w:eastAsia="仿宋" w:cs="仿宋"/>
                <w:sz w:val="24"/>
              </w:rPr>
            </w:pPr>
            <w:r>
              <w:rPr>
                <w:rFonts w:hint="eastAsia" w:ascii="仿宋" w:hAnsi="仿宋" w:eastAsia="仿宋" w:cs="仿宋"/>
                <w:sz w:val="24"/>
              </w:rPr>
              <w:t>技术路线：</w:t>
            </w:r>
          </w:p>
          <w:p>
            <w:pPr>
              <w:numPr>
                <w:ilvl w:val="0"/>
                <w:numId w:val="5"/>
              </w:numPr>
              <w:ind w:left="180"/>
              <w:rPr>
                <w:rFonts w:hint="eastAsia" w:ascii="仿宋" w:hAnsi="仿宋" w:eastAsia="仿宋" w:cs="仿宋"/>
                <w:sz w:val="24"/>
              </w:rPr>
            </w:pPr>
            <w:r>
              <w:rPr>
                <w:rFonts w:hint="eastAsia" w:ascii="仿宋" w:hAnsi="仿宋" w:eastAsia="仿宋" w:cs="仿宋"/>
                <w:sz w:val="24"/>
              </w:rPr>
              <w:t>长沙市会展场馆问题分析研究及对策</w:t>
            </w:r>
          </w:p>
          <w:p>
            <w:pPr>
              <w:numPr>
                <w:ilvl w:val="0"/>
                <w:numId w:val="5"/>
              </w:numPr>
              <w:ind w:left="180"/>
              <w:rPr>
                <w:rFonts w:hint="eastAsia" w:ascii="仿宋" w:hAnsi="仿宋" w:eastAsia="仿宋" w:cs="仿宋"/>
                <w:sz w:val="24"/>
              </w:rPr>
            </w:pPr>
            <w:r>
              <w:rPr>
                <w:rFonts w:hint="eastAsia" w:ascii="仿宋" w:hAnsi="仿宋" w:eastAsia="仿宋" w:cs="仿宋"/>
                <w:sz w:val="24"/>
              </w:rPr>
              <w:t>收集长沙市场馆文献</w:t>
            </w:r>
          </w:p>
          <w:p>
            <w:pPr>
              <w:numPr>
                <w:ilvl w:val="0"/>
                <w:numId w:val="5"/>
              </w:numPr>
              <w:ind w:left="180"/>
              <w:rPr>
                <w:rFonts w:hint="eastAsia" w:ascii="仿宋" w:hAnsi="仿宋" w:eastAsia="仿宋" w:cs="仿宋"/>
                <w:sz w:val="24"/>
              </w:rPr>
            </w:pPr>
            <w:r>
              <w:rPr>
                <w:rFonts w:hint="eastAsia" w:ascii="仿宋" w:hAnsi="仿宋" w:eastAsia="仿宋" w:cs="仿宋"/>
                <w:sz w:val="24"/>
              </w:rPr>
              <w:t>形成具体问题</w:t>
            </w:r>
          </w:p>
          <w:p>
            <w:pPr>
              <w:numPr>
                <w:ilvl w:val="0"/>
                <w:numId w:val="5"/>
              </w:numPr>
              <w:ind w:left="180"/>
              <w:rPr>
                <w:rFonts w:hint="eastAsia" w:ascii="仿宋" w:hAnsi="仿宋" w:eastAsia="仿宋" w:cs="仿宋"/>
                <w:sz w:val="24"/>
              </w:rPr>
            </w:pPr>
            <w:r>
              <w:rPr>
                <w:rFonts w:hint="eastAsia" w:ascii="仿宋" w:hAnsi="仿宋" w:eastAsia="仿宋" w:cs="仿宋"/>
                <w:sz w:val="24"/>
              </w:rPr>
              <w:t>设计研究方案进行实施</w:t>
            </w:r>
          </w:p>
          <w:p>
            <w:pPr>
              <w:numPr>
                <w:ilvl w:val="0"/>
                <w:numId w:val="5"/>
              </w:numPr>
              <w:ind w:left="180"/>
              <w:rPr>
                <w:rFonts w:hint="eastAsia" w:ascii="仿宋" w:hAnsi="仿宋" w:eastAsia="仿宋" w:cs="仿宋"/>
                <w:sz w:val="24"/>
              </w:rPr>
            </w:pPr>
            <w:r>
              <w:rPr>
                <w:rFonts w:hint="eastAsia" w:ascii="仿宋" w:hAnsi="仿宋" w:eastAsia="仿宋" w:cs="仿宋"/>
                <w:sz w:val="24"/>
              </w:rPr>
              <w:t>收集数据并整理数据</w:t>
            </w:r>
          </w:p>
          <w:p>
            <w:pPr>
              <w:numPr>
                <w:ilvl w:val="0"/>
                <w:numId w:val="5"/>
              </w:numPr>
              <w:ind w:left="180"/>
              <w:rPr>
                <w:rFonts w:hint="eastAsia" w:ascii="仿宋" w:hAnsi="仿宋" w:eastAsia="仿宋" w:cs="仿宋"/>
                <w:sz w:val="24"/>
              </w:rPr>
            </w:pPr>
            <w:r>
              <w:rPr>
                <w:rFonts w:hint="eastAsia" w:ascii="仿宋" w:hAnsi="仿宋" w:eastAsia="仿宋" w:cs="仿宋"/>
                <w:sz w:val="24"/>
              </w:rPr>
              <w:t>得出结论</w:t>
            </w:r>
          </w:p>
          <w:p>
            <w:pPr>
              <w:rPr>
                <w:rFonts w:hint="eastAsia" w:ascii="仿宋" w:hAnsi="仿宋" w:eastAsia="仿宋" w:cs="仿宋"/>
                <w:sz w:val="24"/>
              </w:rPr>
            </w:pPr>
            <w:r>
              <w:rPr>
                <w:rFonts w:hint="eastAsia" w:ascii="仿宋" w:hAnsi="仿宋" w:eastAsia="仿宋" w:cs="仿宋"/>
                <w:sz w:val="24"/>
              </w:rPr>
              <w:t>预期成果：</w:t>
            </w:r>
          </w:p>
          <w:p>
            <w:pPr>
              <w:rPr>
                <w:rFonts w:hint="eastAsia" w:ascii="仿宋" w:hAnsi="仿宋" w:eastAsia="仿宋"/>
                <w:sz w:val="24"/>
              </w:rPr>
            </w:pPr>
            <w:r>
              <w:rPr>
                <w:rFonts w:hint="eastAsia" w:ascii="仿宋" w:hAnsi="仿宋" w:eastAsia="仿宋"/>
                <w:sz w:val="24"/>
              </w:rPr>
              <w:t xml:space="preserve">  1.合理定位规模，发挥湖南作为中国作为中部场馆的优势。</w:t>
            </w:r>
          </w:p>
          <w:p>
            <w:pPr>
              <w:rPr>
                <w:rFonts w:hint="eastAsia" w:ascii="仿宋" w:hAnsi="仿宋" w:eastAsia="仿宋"/>
                <w:sz w:val="24"/>
              </w:rPr>
            </w:pPr>
            <w:r>
              <w:rPr>
                <w:rFonts w:hint="eastAsia" w:ascii="仿宋" w:hAnsi="仿宋" w:eastAsia="仿宋"/>
                <w:sz w:val="24"/>
              </w:rPr>
              <w:t xml:space="preserve">  2.完善展台设计服务、展台搭建服务，不断加强展览相关服务，进一步促进展会品牌形象的提升和整个展览环境的优化。</w:t>
            </w:r>
          </w:p>
          <w:p>
            <w:pPr>
              <w:ind w:left="180"/>
              <w:rPr>
                <w:rFonts w:hint="eastAsia" w:ascii="仿宋" w:hAnsi="仿宋" w:eastAsia="仿宋"/>
                <w:sz w:val="24"/>
              </w:rPr>
            </w:pPr>
            <w:r>
              <w:rPr>
                <w:rFonts w:hint="eastAsia" w:ascii="仿宋" w:hAnsi="仿宋" w:eastAsia="仿宋"/>
                <w:sz w:val="24"/>
              </w:rPr>
              <w:t xml:space="preserve"> 3.改善展馆周边交通问题，采取一些有针对性的措施，尽量减少展览期间交通拥挤对参展商的影响，为其提供更多便利。</w:t>
            </w:r>
          </w:p>
          <w:p>
            <w:pPr>
              <w:ind w:left="180"/>
              <w:rPr>
                <w:rFonts w:hint="eastAsia" w:ascii="仿宋" w:hAnsi="仿宋" w:eastAsia="仿宋"/>
                <w:sz w:val="24"/>
              </w:rPr>
            </w:pPr>
            <w:r>
              <w:rPr>
                <w:rFonts w:hint="eastAsia" w:ascii="仿宋" w:hAnsi="仿宋" w:eastAsia="仿宋"/>
                <w:sz w:val="24"/>
              </w:rPr>
              <w:t xml:space="preserve"> 4.围绕“建设中部会展名城”这一中心，在长株潭融城核心地段兴建一处大型展馆，并大力培育本土品牌，着力提升会展服务水平，努力形成一整套接待服务体系，而且还要加强现代网络技术的影响及宣传作用。  </w:t>
            </w:r>
          </w:p>
          <w:p>
            <w:pPr>
              <w:ind w:left="180"/>
              <w:rPr>
                <w:rFonts w:hint="eastAsia" w:ascii="仿宋" w:hAnsi="仿宋" w:eastAsia="仿宋"/>
                <w:sz w:val="24"/>
              </w:rPr>
            </w:pPr>
            <w:r>
              <w:rPr>
                <w:rFonts w:hint="eastAsia" w:ascii="仿宋" w:hAnsi="仿宋" w:eastAsia="仿宋"/>
                <w:sz w:val="24"/>
              </w:rPr>
              <w:t xml:space="preserve"> 5.建设档次高、面积大、科技含量高的展览馆，尤为重要的是，必须提高场馆的利用率，减少场馆的空置。</w:t>
            </w:r>
          </w:p>
          <w:p>
            <w:pPr>
              <w:ind w:left="180"/>
              <w:rPr>
                <w:rFonts w:hint="eastAsia" w:ascii="宋体" w:hAnsi="宋体"/>
                <w:sz w:val="24"/>
              </w:rPr>
            </w:pPr>
          </w:p>
          <w:p>
            <w:pPr>
              <w:rPr>
                <w:rFonts w:hint="eastAsia" w:ascii="宋体" w:hAnsi="宋体"/>
                <w:sz w:val="24"/>
                <w:szCs w:val="24"/>
              </w:rPr>
            </w:pPr>
          </w:p>
          <w:p>
            <w:pPr>
              <w:ind w:left="180"/>
              <w:rPr>
                <w:rFonts w:hint="eastAsia" w:ascii="宋体" w:hAnsi="宋体"/>
                <w:sz w:val="24"/>
                <w:szCs w:val="24"/>
              </w:rPr>
            </w:pPr>
          </w:p>
          <w:p>
            <w:pPr>
              <w:ind w:left="180"/>
              <w:rPr>
                <w:rFonts w:hint="eastAsia" w:ascii="宋体" w:hAnsi="宋体"/>
                <w:sz w:val="24"/>
                <w:szCs w:val="24"/>
              </w:rPr>
            </w:pPr>
          </w:p>
          <w:p>
            <w:pPr>
              <w:ind w:left="18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8663" w:type="dxa"/>
            <w:gridSpan w:val="7"/>
            <w:vAlign w:val="top"/>
          </w:tcPr>
          <w:p>
            <w:pPr>
              <w:rPr>
                <w:rFonts w:hint="eastAsia" w:ascii="宋体" w:hAnsi="宋体"/>
                <w:sz w:val="24"/>
                <w:szCs w:val="24"/>
              </w:rPr>
            </w:pPr>
            <w:r>
              <w:rPr>
                <w:rFonts w:hint="eastAsia" w:ascii="宋体" w:hAnsi="宋体"/>
                <w:sz w:val="24"/>
                <w:szCs w:val="24"/>
              </w:rPr>
              <w:t>年度目标和工作内容（分年度写）</w:t>
            </w:r>
          </w:p>
          <w:p>
            <w:pPr>
              <w:rPr>
                <w:rFonts w:hint="eastAsia" w:ascii="仿宋" w:hAnsi="仿宋" w:eastAsia="仿宋" w:cs="仿宋"/>
                <w:sz w:val="24"/>
              </w:rPr>
            </w:pPr>
            <w:r>
              <w:rPr>
                <w:rFonts w:hint="eastAsia" w:ascii="仿宋" w:hAnsi="仿宋" w:eastAsia="仿宋" w:cs="仿宋"/>
                <w:sz w:val="24"/>
              </w:rPr>
              <w:t>2016.3.21--2016.3.22：选题</w:t>
            </w:r>
          </w:p>
          <w:p>
            <w:pPr>
              <w:rPr>
                <w:rFonts w:hint="eastAsia" w:ascii="仿宋" w:hAnsi="仿宋" w:eastAsia="仿宋" w:cs="仿宋"/>
                <w:sz w:val="24"/>
              </w:rPr>
            </w:pPr>
            <w:r>
              <w:rPr>
                <w:rFonts w:hint="eastAsia" w:ascii="仿宋" w:hAnsi="仿宋" w:eastAsia="仿宋" w:cs="仿宋"/>
                <w:sz w:val="24"/>
              </w:rPr>
              <w:t>2016.3.23--</w:t>
            </w:r>
            <w:r>
              <w:rPr>
                <w:rFonts w:hint="eastAsia" w:ascii="仿宋" w:hAnsi="仿宋" w:eastAsia="仿宋" w:cs="仿宋"/>
                <w:sz w:val="24"/>
                <w:lang w:val="en-US" w:eastAsia="zh-CN"/>
              </w:rPr>
              <w:t>2017</w:t>
            </w:r>
            <w:r>
              <w:rPr>
                <w:rFonts w:hint="eastAsia" w:ascii="仿宋" w:hAnsi="仿宋" w:eastAsia="仿宋" w:cs="仿宋"/>
                <w:sz w:val="24"/>
              </w:rPr>
              <w:t>：撰写调研报告</w:t>
            </w:r>
          </w:p>
          <w:p>
            <w:pPr>
              <w:rPr>
                <w:rFonts w:hint="eastAsia" w:ascii="仿宋" w:hAnsi="仿宋" w:eastAsia="仿宋" w:cs="仿宋"/>
                <w:sz w:val="24"/>
              </w:rPr>
            </w:pPr>
            <w:r>
              <w:rPr>
                <w:rFonts w:hint="eastAsia" w:ascii="仿宋" w:hAnsi="仿宋" w:eastAsia="仿宋" w:cs="仿宋"/>
                <w:sz w:val="24"/>
              </w:rPr>
              <w:t>201</w:t>
            </w:r>
            <w:r>
              <w:rPr>
                <w:rFonts w:hint="eastAsia" w:ascii="仿宋" w:hAnsi="仿宋" w:eastAsia="仿宋" w:cs="仿宋"/>
                <w:sz w:val="24"/>
                <w:lang w:val="en-US" w:eastAsia="zh-CN"/>
              </w:rPr>
              <w:t>7</w:t>
            </w:r>
            <w:r>
              <w:rPr>
                <w:rFonts w:hint="eastAsia" w:ascii="仿宋" w:hAnsi="仿宋" w:eastAsia="仿宋" w:cs="仿宋"/>
                <w:sz w:val="24"/>
              </w:rPr>
              <w:t>--201</w:t>
            </w:r>
            <w:r>
              <w:rPr>
                <w:rFonts w:hint="eastAsia" w:ascii="仿宋" w:hAnsi="仿宋" w:eastAsia="仿宋" w:cs="仿宋"/>
                <w:sz w:val="24"/>
                <w:lang w:val="en-US" w:eastAsia="zh-CN"/>
              </w:rPr>
              <w:t>8</w:t>
            </w:r>
            <w:r>
              <w:rPr>
                <w:rFonts w:hint="eastAsia" w:ascii="仿宋" w:hAnsi="仿宋" w:eastAsia="仿宋" w:cs="仿宋"/>
                <w:sz w:val="24"/>
              </w:rPr>
              <w:t>：修改调研报告</w:t>
            </w:r>
          </w:p>
          <w:p>
            <w:pPr>
              <w:rPr>
                <w:rFonts w:hint="eastAsia" w:ascii="宋体" w:hAnsi="宋体"/>
                <w:sz w:val="24"/>
              </w:rPr>
            </w:pPr>
            <w:r>
              <w:rPr>
                <w:rFonts w:hint="eastAsia" w:ascii="仿宋" w:hAnsi="仿宋" w:eastAsia="仿宋" w:cs="仿宋"/>
                <w:sz w:val="24"/>
              </w:rPr>
              <w:t>201</w:t>
            </w:r>
            <w:r>
              <w:rPr>
                <w:rFonts w:hint="eastAsia" w:ascii="仿宋" w:hAnsi="仿宋" w:eastAsia="仿宋" w:cs="仿宋"/>
                <w:sz w:val="24"/>
                <w:lang w:val="en-US" w:eastAsia="zh-CN"/>
              </w:rPr>
              <w:t>8年末</w:t>
            </w:r>
            <w:r>
              <w:rPr>
                <w:rFonts w:hint="eastAsia" w:ascii="仿宋" w:hAnsi="仿宋" w:eastAsia="仿宋" w:cs="仿宋"/>
                <w:sz w:val="24"/>
              </w:rPr>
              <w:t>：提交调研报告</w:t>
            </w:r>
            <w:r>
              <w:rPr>
                <w:rFonts w:hint="eastAsia" w:ascii="宋体" w:hAnsi="宋体"/>
                <w:sz w:val="24"/>
              </w:rPr>
              <w:t xml:space="preserve"> </w:t>
            </w: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8663" w:type="dxa"/>
            <w:gridSpan w:val="7"/>
            <w:vAlign w:val="center"/>
          </w:tcPr>
          <w:p>
            <w:pPr>
              <w:rPr>
                <w:rFonts w:hint="eastAsia" w:ascii="宋体" w:hAnsi="宋体"/>
                <w:sz w:val="24"/>
                <w:szCs w:val="24"/>
              </w:rPr>
            </w:pPr>
            <w:r>
              <w:rPr>
                <w:rFonts w:hint="eastAsia" w:ascii="宋体" w:hAnsi="宋体"/>
                <w:sz w:val="24"/>
                <w:szCs w:val="24"/>
              </w:rPr>
              <w:t>指导教师意见</w:t>
            </w:r>
          </w:p>
          <w:p>
            <w:pPr>
              <w:keepNext w:val="0"/>
              <w:keepLines w:val="0"/>
              <w:pageBreakBefore w:val="0"/>
              <w:widowControl w:val="0"/>
              <w:kinsoku/>
              <w:wordWrap/>
              <w:overflowPunct/>
              <w:topLinePunct w:val="0"/>
              <w:autoSpaceDE/>
              <w:autoSpaceDN/>
              <w:bidi w:val="0"/>
              <w:adjustRightInd/>
              <w:snapToGrid/>
              <w:spacing w:line="240" w:lineRule="auto"/>
              <w:ind w:left="18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rPr>
              <w:t>本课题对于提高长沙市会展场馆的利用率，扩大长沙市会展业的影响力具有很好的实践意义，随着长沙新展馆的建设和今年十月的投入使用，长沙会展业会有更好的基础条件，但新展馆的利用更应该从合理的角度来进行分析和研究，从而更好的为长沙的会展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b w:val="0"/>
                <w:i w:val="0"/>
                <w:caps w:val="0"/>
                <w:color w:val="000000"/>
                <w:spacing w:val="0"/>
                <w:sz w:val="24"/>
                <w:szCs w:val="24"/>
                <w:lang w:val="en-US" w:eastAsia="zh-CN"/>
              </w:rPr>
            </w:pPr>
          </w:p>
          <w:p>
            <w:pPr>
              <w:rPr>
                <w:rFonts w:hint="eastAsia" w:ascii="宋体" w:hAnsi="宋体"/>
                <w:sz w:val="24"/>
                <w:szCs w:val="24"/>
              </w:rPr>
            </w:pPr>
          </w:p>
          <w:p>
            <w:pPr>
              <w:ind w:left="180"/>
              <w:rPr>
                <w:rFonts w:hint="eastAsia" w:ascii="宋体" w:hAnsi="宋体"/>
                <w:sz w:val="24"/>
                <w:szCs w:val="24"/>
              </w:rPr>
            </w:pPr>
          </w:p>
          <w:p>
            <w:pPr>
              <w:ind w:left="181" w:leftChars="60" w:firstLine="2888" w:firstLineChars="1303"/>
              <w:rPr>
                <w:rFonts w:hint="eastAsia" w:ascii="宋体" w:hAnsi="宋体"/>
                <w:sz w:val="24"/>
                <w:szCs w:val="24"/>
              </w:rPr>
            </w:pPr>
            <w:r>
              <w:rPr>
                <w:rFonts w:hint="eastAsia" w:ascii="宋体" w:hAnsi="宋体"/>
                <w:sz w:val="24"/>
                <w:szCs w:val="24"/>
              </w:rPr>
              <w:t>签字：                   日期：</w:t>
            </w:r>
          </w:p>
        </w:tc>
      </w:tr>
    </w:tbl>
    <w:p>
      <w:pPr>
        <w:rPr>
          <w:rFonts w:ascii="仿宋_GB2312" w:hAnsi="宋体" w:eastAsia="仿宋_GB2312"/>
          <w:sz w:val="28"/>
          <w:szCs w:val="28"/>
        </w:rPr>
        <w:sectPr>
          <w:headerReference r:id="rId3" w:type="default"/>
          <w:footerReference r:id="rId4" w:type="default"/>
          <w:footerReference r:id="rId5" w:type="even"/>
          <w:pgSz w:w="11906" w:h="16838"/>
          <w:pgMar w:top="1588" w:right="1701" w:bottom="1871" w:left="1758" w:header="851" w:footer="1418" w:gutter="0"/>
          <w:cols w:space="425" w:num="1"/>
          <w:titlePg/>
          <w:docGrid w:type="linesAndChars" w:linePitch="608" w:charSpace="-3753"/>
        </w:sectPr>
      </w:pPr>
      <w:r>
        <w:rPr>
          <w:rFonts w:hint="eastAsia" w:ascii="仿宋_GB2312" w:hAnsi="宋体" w:eastAsia="仿宋_GB2312"/>
          <w:sz w:val="28"/>
          <w:szCs w:val="28"/>
        </w:rPr>
        <w:t>注：本表栏空不够可另附纸张</w:t>
      </w:r>
    </w:p>
    <w:p>
      <w:pPr>
        <w:sectPr>
          <w:pgSz w:w="11906" w:h="16838"/>
          <w:pgMar w:top="1440" w:right="1800" w:bottom="1440" w:left="1800" w:header="851" w:footer="992" w:gutter="0"/>
          <w:cols w:space="425" w:num="1"/>
          <w:docGrid w:type="lines" w:linePitch="312" w:charSpace="0"/>
        </w:sect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方正小标宋简体">
    <w:altName w:val="Microsoft YaHei UI"/>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方正大标宋简体">
    <w:altName w:val="Microsoft YaHei UI"/>
    <w:panose1 w:val="03000509000000000000"/>
    <w:charset w:val="86"/>
    <w:family w:val="script"/>
    <w:pitch w:val="default"/>
    <w:sig w:usb0="00000000" w:usb1="00000000" w:usb2="00000010"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icrosoft YaHei UI">
    <w:panose1 w:val="020B0503020204020204"/>
    <w:charset w:val="86"/>
    <w:family w:val="auto"/>
    <w:pitch w:val="default"/>
    <w:sig w:usb0="A0000287" w:usb1="28CF3C52" w:usb2="00000016" w:usb3="00000000" w:csb0="0004001F" w:csb1="00000000"/>
  </w:font>
  <w:font w:name="Microsoft YaHei UI">
    <w:panose1 w:val="020B0503020204020204"/>
    <w:charset w:val="86"/>
    <w:family w:val="script"/>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楷体">
    <w:panose1 w:val="02010609060101010101"/>
    <w:charset w:val="86"/>
    <w:family w:val="modern"/>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A0000287" w:usb1="28CF3C52" w:usb2="00000016" w:usb3="00000000" w:csb0="0004001F"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A0000287" w:usb1="28C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lang w:val="zh-CN" w:eastAsia="zh-CN"/>
      </w:rPr>
      <w:t>9</w:t>
    </w:r>
    <w:r>
      <w:rPr>
        <w:rStyle w:val="7"/>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lang w:val="zh-CN" w:eastAsia="zh-CN"/>
      </w:rPr>
      <w:t>10</w:t>
    </w:r>
    <w:r>
      <w:rPr>
        <w:rStyle w:val="7"/>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9837317">
    <w:nsid w:val="57035985"/>
    <w:multiLevelType w:val="singleLevel"/>
    <w:tmpl w:val="57035985"/>
    <w:lvl w:ilvl="0" w:tentative="1">
      <w:start w:val="3"/>
      <w:numFmt w:val="decimal"/>
      <w:suff w:val="nothing"/>
      <w:lvlText w:val="（%1）"/>
      <w:lvlJc w:val="left"/>
    </w:lvl>
  </w:abstractNum>
  <w:abstractNum w:abstractNumId="1458624417">
    <w:nsid w:val="56F0D7A1"/>
    <w:multiLevelType w:val="singleLevel"/>
    <w:tmpl w:val="56F0D7A1"/>
    <w:lvl w:ilvl="0" w:tentative="1">
      <w:start w:val="1"/>
      <w:numFmt w:val="decimal"/>
      <w:suff w:val="nothing"/>
      <w:lvlText w:val="%1."/>
      <w:lvlJc w:val="left"/>
    </w:lvl>
  </w:abstractNum>
  <w:abstractNum w:abstractNumId="1459836529">
    <w:nsid w:val="57035671"/>
    <w:multiLevelType w:val="singleLevel"/>
    <w:tmpl w:val="57035671"/>
    <w:lvl w:ilvl="0" w:tentative="1">
      <w:start w:val="1"/>
      <w:numFmt w:val="decimal"/>
      <w:suff w:val="nothing"/>
      <w:lvlText w:val="%1."/>
      <w:lvlJc w:val="left"/>
    </w:lvl>
  </w:abstractNum>
  <w:abstractNum w:abstractNumId="1459836423">
    <w:nsid w:val="57035607"/>
    <w:multiLevelType w:val="singleLevel"/>
    <w:tmpl w:val="57035607"/>
    <w:lvl w:ilvl="0" w:tentative="1">
      <w:start w:val="3"/>
      <w:numFmt w:val="decimal"/>
      <w:suff w:val="nothing"/>
      <w:lvlText w:val="%1."/>
      <w:lvlJc w:val="left"/>
    </w:lvl>
  </w:abstractNum>
  <w:abstractNum w:abstractNumId="1459836988">
    <w:nsid w:val="5703583C"/>
    <w:multiLevelType w:val="singleLevel"/>
    <w:tmpl w:val="5703583C"/>
    <w:lvl w:ilvl="0" w:tentative="1">
      <w:start w:val="5"/>
      <w:numFmt w:val="decimal"/>
      <w:suff w:val="nothing"/>
      <w:lvlText w:val="%1."/>
      <w:lvlJc w:val="left"/>
    </w:lvl>
  </w:abstractNum>
  <w:num w:numId="1">
    <w:abstractNumId w:val="1459836988"/>
  </w:num>
  <w:num w:numId="2">
    <w:abstractNumId w:val="1459837317"/>
  </w:num>
  <w:num w:numId="3">
    <w:abstractNumId w:val="1459836423"/>
  </w:num>
  <w:num w:numId="4">
    <w:abstractNumId w:val="1459836529"/>
  </w:num>
  <w:num w:numId="5">
    <w:abstractNumId w:val="1458624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661DA"/>
    <w:rsid w:val="01DF0870"/>
    <w:rsid w:val="06C6710D"/>
    <w:rsid w:val="1B267FBB"/>
    <w:rsid w:val="27D661DA"/>
    <w:rsid w:val="6EA241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5">
    <w:name w:val="Default Paragraph Font"/>
    <w:link w:val="6"/>
    <w:semiHidden/>
    <w:qFormat/>
    <w:uiPriority w:val="0"/>
    <w:rPr>
      <w:rFonts w:ascii="Tahoma" w:hAnsi="Tahoma"/>
      <w:sz w:val="24"/>
      <w:szCs w:val="20"/>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555"/>
    </w:pPr>
    <w:rPr>
      <w:sz w:val="21"/>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Char"/>
    <w:basedOn w:val="1"/>
    <w:link w:val="5"/>
    <w:qFormat/>
    <w:uiPriority w:val="0"/>
    <w:rPr>
      <w:rFonts w:ascii="Tahoma" w:hAnsi="Tahoma"/>
      <w:sz w:val="24"/>
      <w:szCs w:val="20"/>
    </w:rPr>
  </w:style>
  <w:style w:type="character" w:styleId="7">
    <w:name w:val="page number"/>
    <w:basedOn w:val="5"/>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2016-04-05T00:34:00Z</dcterms:created>
  <dc:creator>Administrator</dc:creator>
  <cp:lastModifiedBy>ximin</cp:lastModifiedBy>
  <dcterms:modified xsi:type="dcterms:W3CDTF">2016-04-05T06:19:41Z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